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8DCFC" w14:textId="62F9E3E1" w:rsidR="00C54447" w:rsidRPr="00233397" w:rsidRDefault="00C54447" w:rsidP="00A61176">
      <w:pPr>
        <w:pStyle w:val="Title"/>
        <w:spacing w:after="240"/>
        <w:jc w:val="left"/>
        <w:rPr>
          <w:sz w:val="22"/>
          <w:szCs w:val="32"/>
        </w:rPr>
      </w:pPr>
    </w:p>
    <w:p w14:paraId="2C88A388" w14:textId="040D08EE" w:rsidR="00473ACB" w:rsidRPr="000D00A7" w:rsidRDefault="210B7E85" w:rsidP="00A61176">
      <w:pPr>
        <w:pStyle w:val="Title"/>
        <w:spacing w:after="240"/>
        <w:jc w:val="left"/>
        <w:rPr>
          <w:sz w:val="48"/>
          <w:szCs w:val="48"/>
        </w:rPr>
      </w:pPr>
      <w:r w:rsidRPr="210B7E85">
        <w:rPr>
          <w:sz w:val="48"/>
          <w:szCs w:val="48"/>
        </w:rPr>
        <w:t>Pipeline Accelerator 2020-21</w:t>
      </w:r>
      <w:r w:rsidR="00863C0A">
        <w:rPr>
          <w:sz w:val="48"/>
          <w:szCs w:val="48"/>
        </w:rPr>
        <w:t xml:space="preserve"> (Round </w:t>
      </w:r>
      <w:r w:rsidR="00822C7D">
        <w:rPr>
          <w:sz w:val="48"/>
          <w:szCs w:val="48"/>
        </w:rPr>
        <w:t>2</w:t>
      </w:r>
      <w:r w:rsidR="00863C0A">
        <w:rPr>
          <w:sz w:val="48"/>
          <w:szCs w:val="48"/>
        </w:rPr>
        <w:t>)</w:t>
      </w:r>
      <w:r w:rsidR="009643E5">
        <w:rPr>
          <w:sz w:val="48"/>
          <w:szCs w:val="48"/>
        </w:rPr>
        <w:t xml:space="preserve"> – Core Facilities </w:t>
      </w:r>
      <w:r w:rsidRPr="210B7E85">
        <w:rPr>
          <w:sz w:val="48"/>
          <w:szCs w:val="48"/>
        </w:rPr>
        <w:t>Guidelines</w:t>
      </w:r>
    </w:p>
    <w:p w14:paraId="2D1C36F5" w14:textId="2F714B7D" w:rsidR="00C27D3E" w:rsidRPr="00C27D3E" w:rsidRDefault="006B59D6" w:rsidP="00863ACB">
      <w:pPr>
        <w:pStyle w:val="Heading2"/>
      </w:pPr>
      <w:r w:rsidRPr="00DD7606">
        <w:t xml:space="preserve">Facilitating </w:t>
      </w:r>
      <w:r w:rsidR="00DF5B35">
        <w:t>a</w:t>
      </w:r>
      <w:r w:rsidR="001B1DD4" w:rsidRPr="00DD7606">
        <w:t xml:space="preserve">ccess </w:t>
      </w:r>
      <w:r w:rsidR="0010177B" w:rsidRPr="00DD7606">
        <w:t xml:space="preserve">to </w:t>
      </w:r>
      <w:r w:rsidR="00866A61">
        <w:t>TI</w:t>
      </w:r>
      <w:r w:rsidR="009643E5">
        <w:t>A core</w:t>
      </w:r>
      <w:r w:rsidR="004B2D1E">
        <w:t xml:space="preserve"> facilities</w:t>
      </w:r>
      <w:r w:rsidR="00863ACB">
        <w:rPr>
          <w:rStyle w:val="FootnoteReference"/>
        </w:rPr>
        <w:footnoteReference w:id="2"/>
      </w:r>
    </w:p>
    <w:p w14:paraId="3728DE91" w14:textId="77697936" w:rsidR="00E24EB5" w:rsidRPr="00DD7606" w:rsidRDefault="00E24EB5" w:rsidP="00D32826">
      <w:pPr>
        <w:pStyle w:val="Heading2"/>
      </w:pPr>
      <w:r w:rsidRPr="00DD7606">
        <w:t>Background</w:t>
      </w:r>
    </w:p>
    <w:p w14:paraId="6B4D7C25" w14:textId="143F0955" w:rsidR="00CB4661" w:rsidRDefault="00D40F1B" w:rsidP="004B6BEB">
      <w:pPr>
        <w:spacing w:after="0"/>
        <w:rPr>
          <w:lang w:val="en-GB"/>
        </w:rPr>
      </w:pPr>
      <w:r>
        <w:t>Therapeutic Innovation Australia (</w:t>
      </w:r>
      <w:r w:rsidR="001F376F">
        <w:t>TIA</w:t>
      </w:r>
      <w:r>
        <w:t>)</w:t>
      </w:r>
      <w:r w:rsidR="001F376F">
        <w:t xml:space="preserve">, as a major NCRIS project, </w:t>
      </w:r>
      <w:r w:rsidR="00F35379">
        <w:t xml:space="preserve">supports and facilitates </w:t>
      </w:r>
      <w:r w:rsidR="001F376F">
        <w:t xml:space="preserve">researcher and SME </w:t>
      </w:r>
      <w:r w:rsidR="00F35379">
        <w:t xml:space="preserve">access to </w:t>
      </w:r>
      <w:r w:rsidR="00341844">
        <w:t xml:space="preserve">a diverse range of Australian translational medical research capabilities. </w:t>
      </w:r>
      <w:r w:rsidR="001F376F">
        <w:t xml:space="preserve">One specific mechanism, providing rapid, entry level access </w:t>
      </w:r>
      <w:r w:rsidR="001F376F">
        <w:rPr>
          <w:lang w:val="en-GB"/>
        </w:rPr>
        <w:t>is via</w:t>
      </w:r>
      <w:r w:rsidR="00F35379">
        <w:rPr>
          <w:lang w:val="en-GB"/>
        </w:rPr>
        <w:t xml:space="preserve"> </w:t>
      </w:r>
      <w:r w:rsidR="00CB4661" w:rsidRPr="00CB4661">
        <w:rPr>
          <w:lang w:val="en-GB"/>
        </w:rPr>
        <w:t xml:space="preserve">a voucher-style scheme - the </w:t>
      </w:r>
      <w:r w:rsidR="00CB4661" w:rsidRPr="00165BD9">
        <w:rPr>
          <w:b/>
          <w:bCs/>
          <w:lang w:val="en-GB"/>
        </w:rPr>
        <w:t>Pipeline Accelerator</w:t>
      </w:r>
      <w:r w:rsidR="00CB4661" w:rsidRPr="00CB4661">
        <w:rPr>
          <w:lang w:val="en-GB"/>
        </w:rPr>
        <w:t>.</w:t>
      </w:r>
      <w:r w:rsidR="000D00A7">
        <w:rPr>
          <w:lang w:val="en-GB"/>
        </w:rPr>
        <w:t xml:space="preserve"> </w:t>
      </w:r>
    </w:p>
    <w:p w14:paraId="626AC5DF" w14:textId="77777777" w:rsidR="008A7A12" w:rsidRDefault="008A7A12" w:rsidP="210B7E85">
      <w:pPr>
        <w:spacing w:after="0"/>
        <w:rPr>
          <w:lang w:val="en-GB"/>
        </w:rPr>
      </w:pPr>
    </w:p>
    <w:p w14:paraId="6ACC0685" w14:textId="171457C1" w:rsidR="00653CFE" w:rsidRPr="000D00A7" w:rsidRDefault="008A7A12" w:rsidP="210B7E85">
      <w:pPr>
        <w:spacing w:after="0"/>
        <w:rPr>
          <w:rFonts w:asciiTheme="majorHAnsi" w:hAnsiTheme="majorHAnsi" w:cstheme="majorBidi"/>
        </w:rPr>
      </w:pPr>
      <w:r>
        <w:rPr>
          <w:lang w:val="en-GB"/>
        </w:rPr>
        <w:t>T</w:t>
      </w:r>
      <w:r w:rsidR="001F376F">
        <w:rPr>
          <w:lang w:val="en-GB"/>
        </w:rPr>
        <w:t xml:space="preserve">he </w:t>
      </w:r>
      <w:r w:rsidR="210B7E85" w:rsidRPr="210B7E85">
        <w:rPr>
          <w:lang w:val="en-GB"/>
        </w:rPr>
        <w:t xml:space="preserve">Pipeline Accelerator provides SMEs and researchers the access to one </w:t>
      </w:r>
      <w:r w:rsidR="001F376F">
        <w:rPr>
          <w:lang w:val="en-GB"/>
        </w:rPr>
        <w:t xml:space="preserve">or more </w:t>
      </w:r>
      <w:r>
        <w:rPr>
          <w:lang w:val="en-GB"/>
        </w:rPr>
        <w:t xml:space="preserve">TIA core </w:t>
      </w:r>
      <w:r w:rsidR="001F376F" w:rsidRPr="210B7E85">
        <w:rPr>
          <w:lang w:val="en-GB"/>
        </w:rPr>
        <w:t>facili</w:t>
      </w:r>
      <w:r>
        <w:rPr>
          <w:lang w:val="en-GB"/>
        </w:rPr>
        <w:t xml:space="preserve">ties </w:t>
      </w:r>
      <w:r w:rsidR="00E16D63">
        <w:rPr>
          <w:lang w:val="en-GB"/>
        </w:rPr>
        <w:t>to</w:t>
      </w:r>
      <w:r>
        <w:rPr>
          <w:lang w:val="en-GB"/>
        </w:rPr>
        <w:t xml:space="preserve"> enable </w:t>
      </w:r>
      <w:r w:rsidR="210B7E85" w:rsidRPr="210B7E85">
        <w:rPr>
          <w:rFonts w:asciiTheme="majorHAnsi" w:hAnsiTheme="majorHAnsi" w:cstheme="majorBidi"/>
        </w:rPr>
        <w:t>various therapeutic development projects, including (but not limited to):</w:t>
      </w:r>
    </w:p>
    <w:p w14:paraId="59533DB8" w14:textId="318A8781" w:rsidR="00653CFE" w:rsidRPr="000A37FF" w:rsidRDefault="210B7E85" w:rsidP="007634FD">
      <w:pPr>
        <w:pStyle w:val="Role"/>
        <w:numPr>
          <w:ilvl w:val="0"/>
          <w:numId w:val="17"/>
        </w:numPr>
        <w:spacing w:before="0"/>
        <w:ind w:left="1134"/>
        <w:rPr>
          <w:rFonts w:asciiTheme="majorHAnsi" w:eastAsiaTheme="majorEastAsia" w:hAnsiTheme="majorHAnsi" w:cstheme="majorBidi"/>
          <w:b w:val="0"/>
          <w:bCs w:val="0"/>
          <w:color w:val="auto"/>
          <w:sz w:val="22"/>
          <w:szCs w:val="22"/>
        </w:rPr>
      </w:pPr>
      <w:r w:rsidRPr="210B7E85">
        <w:rPr>
          <w:rFonts w:asciiTheme="majorHAnsi" w:hAnsiTheme="majorHAnsi" w:cstheme="majorBidi"/>
          <w:b w:val="0"/>
          <w:bCs w:val="0"/>
          <w:color w:val="auto"/>
          <w:sz w:val="22"/>
          <w:szCs w:val="22"/>
        </w:rPr>
        <w:t xml:space="preserve">Supply of small molecule, biologics, cell or other compound libraries for </w:t>
      </w:r>
      <w:proofErr w:type="gramStart"/>
      <w:r w:rsidRPr="210B7E85">
        <w:rPr>
          <w:rFonts w:asciiTheme="majorHAnsi" w:hAnsiTheme="majorHAnsi" w:cstheme="majorBidi"/>
          <w:b w:val="0"/>
          <w:bCs w:val="0"/>
          <w:color w:val="auto"/>
          <w:sz w:val="22"/>
          <w:szCs w:val="22"/>
        </w:rPr>
        <w:t>hit,</w:t>
      </w:r>
      <w:proofErr w:type="gramEnd"/>
      <w:r w:rsidRPr="210B7E85">
        <w:rPr>
          <w:rFonts w:asciiTheme="majorHAnsi" w:hAnsiTheme="majorHAnsi" w:cstheme="majorBidi"/>
          <w:b w:val="0"/>
          <w:bCs w:val="0"/>
          <w:color w:val="auto"/>
          <w:sz w:val="22"/>
          <w:szCs w:val="22"/>
        </w:rPr>
        <w:t xml:space="preserve"> lead, tool or target discovery</w:t>
      </w:r>
    </w:p>
    <w:p w14:paraId="48DF7F3E" w14:textId="26EB55C2" w:rsidR="000A37FF" w:rsidRPr="000D00A7" w:rsidRDefault="000A37FF" w:rsidP="007634FD">
      <w:pPr>
        <w:pStyle w:val="Role"/>
        <w:numPr>
          <w:ilvl w:val="0"/>
          <w:numId w:val="17"/>
        </w:numPr>
        <w:spacing w:before="0"/>
        <w:ind w:left="1134"/>
        <w:rPr>
          <w:rFonts w:asciiTheme="majorHAnsi" w:eastAsiaTheme="majorEastAsia" w:hAnsiTheme="majorHAnsi" w:cstheme="majorBidi"/>
          <w:b w:val="0"/>
          <w:bCs w:val="0"/>
          <w:color w:val="auto"/>
          <w:sz w:val="22"/>
          <w:szCs w:val="22"/>
        </w:rPr>
      </w:pPr>
      <w:r>
        <w:rPr>
          <w:rFonts w:asciiTheme="majorHAnsi" w:hAnsiTheme="majorHAnsi" w:cstheme="majorBidi"/>
          <w:b w:val="0"/>
          <w:bCs w:val="0"/>
          <w:color w:val="auto"/>
          <w:sz w:val="22"/>
          <w:szCs w:val="22"/>
        </w:rPr>
        <w:t>Assay development</w:t>
      </w:r>
    </w:p>
    <w:p w14:paraId="5989130B" w14:textId="3F3F76E6" w:rsidR="00653CFE" w:rsidRPr="000D00A7" w:rsidRDefault="210B7E85" w:rsidP="007634FD">
      <w:pPr>
        <w:pStyle w:val="Role"/>
        <w:numPr>
          <w:ilvl w:val="0"/>
          <w:numId w:val="17"/>
        </w:numPr>
        <w:spacing w:before="0"/>
        <w:ind w:left="1134"/>
        <w:rPr>
          <w:b w:val="0"/>
          <w:bCs w:val="0"/>
          <w:color w:val="auto"/>
          <w:sz w:val="22"/>
          <w:szCs w:val="22"/>
        </w:rPr>
      </w:pPr>
      <w:r w:rsidRPr="210B7E85">
        <w:rPr>
          <w:rFonts w:asciiTheme="majorHAnsi" w:hAnsiTheme="majorHAnsi" w:cstheme="majorBidi"/>
          <w:b w:val="0"/>
          <w:bCs w:val="0"/>
          <w:color w:val="auto"/>
          <w:sz w:val="22"/>
          <w:szCs w:val="22"/>
        </w:rPr>
        <w:t xml:space="preserve">Drug optimisation and advice on development strategy </w:t>
      </w:r>
    </w:p>
    <w:p w14:paraId="30230C43" w14:textId="238E0FF1" w:rsidR="00653CFE" w:rsidRPr="000D00A7" w:rsidRDefault="210B7E85" w:rsidP="007634FD">
      <w:pPr>
        <w:pStyle w:val="Role"/>
        <w:numPr>
          <w:ilvl w:val="0"/>
          <w:numId w:val="17"/>
        </w:numPr>
        <w:spacing w:before="0"/>
        <w:ind w:left="1134"/>
        <w:rPr>
          <w:b w:val="0"/>
          <w:bCs w:val="0"/>
          <w:color w:val="auto"/>
          <w:sz w:val="22"/>
          <w:szCs w:val="22"/>
        </w:rPr>
      </w:pPr>
      <w:r w:rsidRPr="210B7E85">
        <w:rPr>
          <w:rFonts w:asciiTheme="majorHAnsi" w:hAnsiTheme="majorHAnsi" w:cstheme="majorBidi"/>
          <w:b w:val="0"/>
          <w:bCs w:val="0"/>
          <w:color w:val="auto"/>
          <w:sz w:val="22"/>
          <w:szCs w:val="22"/>
        </w:rPr>
        <w:t xml:space="preserve">Vaccine candidate development </w:t>
      </w:r>
    </w:p>
    <w:p w14:paraId="4B9A2834" w14:textId="77777777" w:rsidR="00653CFE" w:rsidRPr="000D00A7" w:rsidRDefault="00653CFE" w:rsidP="007634FD">
      <w:pPr>
        <w:pStyle w:val="Role"/>
        <w:numPr>
          <w:ilvl w:val="0"/>
          <w:numId w:val="17"/>
        </w:numPr>
        <w:ind w:left="1134"/>
        <w:rPr>
          <w:rFonts w:asciiTheme="majorHAnsi" w:hAnsiTheme="majorHAnsi" w:cstheme="majorHAnsi"/>
          <w:b w:val="0"/>
          <w:bCs w:val="0"/>
          <w:color w:val="auto"/>
          <w:sz w:val="22"/>
          <w:szCs w:val="22"/>
        </w:rPr>
      </w:pPr>
      <w:r w:rsidRPr="000D00A7">
        <w:rPr>
          <w:rFonts w:asciiTheme="majorHAnsi" w:hAnsiTheme="majorHAnsi" w:cstheme="majorHAnsi"/>
          <w:b w:val="0"/>
          <w:bCs w:val="0"/>
          <w:color w:val="auto"/>
          <w:sz w:val="22"/>
          <w:szCs w:val="22"/>
        </w:rPr>
        <w:t>Process development for biologics</w:t>
      </w:r>
    </w:p>
    <w:p w14:paraId="74051FC4" w14:textId="77777777" w:rsidR="00653CFE" w:rsidRPr="000D00A7" w:rsidRDefault="00653CFE" w:rsidP="007634FD">
      <w:pPr>
        <w:pStyle w:val="Role"/>
        <w:numPr>
          <w:ilvl w:val="0"/>
          <w:numId w:val="17"/>
        </w:numPr>
        <w:ind w:left="1134"/>
        <w:rPr>
          <w:rFonts w:asciiTheme="majorHAnsi" w:hAnsiTheme="majorHAnsi" w:cstheme="majorHAnsi"/>
          <w:b w:val="0"/>
          <w:bCs w:val="0"/>
          <w:color w:val="auto"/>
          <w:sz w:val="22"/>
          <w:szCs w:val="22"/>
        </w:rPr>
      </w:pPr>
      <w:r w:rsidRPr="000D00A7">
        <w:rPr>
          <w:rFonts w:asciiTheme="majorHAnsi" w:hAnsiTheme="majorHAnsi" w:cstheme="majorHAnsi"/>
          <w:b w:val="0"/>
          <w:bCs w:val="0"/>
          <w:color w:val="auto"/>
          <w:sz w:val="22"/>
          <w:szCs w:val="22"/>
        </w:rPr>
        <w:t>TGA-licensed GMP testing to support production</w:t>
      </w:r>
    </w:p>
    <w:p w14:paraId="03A089FC" w14:textId="77777777" w:rsidR="00653CFE" w:rsidRPr="000D00A7" w:rsidRDefault="00653CFE" w:rsidP="007634FD">
      <w:pPr>
        <w:pStyle w:val="Role"/>
        <w:numPr>
          <w:ilvl w:val="0"/>
          <w:numId w:val="17"/>
        </w:numPr>
        <w:ind w:left="1134"/>
        <w:rPr>
          <w:rFonts w:asciiTheme="majorHAnsi" w:hAnsiTheme="majorHAnsi" w:cstheme="majorHAnsi"/>
          <w:b w:val="0"/>
          <w:bCs w:val="0"/>
          <w:color w:val="auto"/>
          <w:sz w:val="22"/>
          <w:szCs w:val="22"/>
        </w:rPr>
      </w:pPr>
      <w:r w:rsidRPr="000D00A7">
        <w:rPr>
          <w:rFonts w:asciiTheme="majorHAnsi" w:hAnsiTheme="majorHAnsi" w:cstheme="majorHAnsi"/>
          <w:b w:val="0"/>
          <w:bCs w:val="0"/>
          <w:color w:val="auto"/>
          <w:sz w:val="22"/>
          <w:szCs w:val="22"/>
        </w:rPr>
        <w:t>Pilot-scale GMP production</w:t>
      </w:r>
    </w:p>
    <w:p w14:paraId="40DA2BB0" w14:textId="77777777" w:rsidR="00653CFE" w:rsidRPr="000D00A7" w:rsidRDefault="00653CFE" w:rsidP="007634FD">
      <w:pPr>
        <w:pStyle w:val="Role"/>
        <w:numPr>
          <w:ilvl w:val="0"/>
          <w:numId w:val="17"/>
        </w:numPr>
        <w:ind w:left="1134"/>
        <w:rPr>
          <w:rFonts w:asciiTheme="majorHAnsi" w:hAnsiTheme="majorHAnsi" w:cstheme="majorHAnsi"/>
          <w:b w:val="0"/>
          <w:bCs w:val="0"/>
          <w:color w:val="auto"/>
          <w:sz w:val="22"/>
          <w:szCs w:val="22"/>
        </w:rPr>
      </w:pPr>
      <w:r w:rsidRPr="000D00A7">
        <w:rPr>
          <w:rFonts w:asciiTheme="majorHAnsi" w:hAnsiTheme="majorHAnsi" w:cstheme="majorHAnsi"/>
          <w:b w:val="0"/>
          <w:bCs w:val="0"/>
          <w:color w:val="auto"/>
          <w:sz w:val="22"/>
          <w:szCs w:val="22"/>
        </w:rPr>
        <w:t>TGA-licenced production of cell therapies for clinical trial and patient use</w:t>
      </w:r>
    </w:p>
    <w:p w14:paraId="0CCAE00C" w14:textId="77777777" w:rsidR="00653CFE" w:rsidRPr="000D00A7" w:rsidRDefault="210B7E85" w:rsidP="007634FD">
      <w:pPr>
        <w:pStyle w:val="Role"/>
        <w:numPr>
          <w:ilvl w:val="0"/>
          <w:numId w:val="17"/>
        </w:numPr>
        <w:ind w:left="1134"/>
        <w:rPr>
          <w:rFonts w:asciiTheme="majorHAnsi" w:hAnsiTheme="majorHAnsi" w:cstheme="majorBidi"/>
          <w:b w:val="0"/>
          <w:bCs w:val="0"/>
          <w:color w:val="auto"/>
          <w:sz w:val="22"/>
          <w:szCs w:val="22"/>
        </w:rPr>
      </w:pPr>
      <w:r w:rsidRPr="210B7E85">
        <w:rPr>
          <w:rFonts w:asciiTheme="majorHAnsi" w:hAnsiTheme="majorHAnsi" w:cstheme="majorBidi"/>
          <w:b w:val="0"/>
          <w:bCs w:val="0"/>
          <w:color w:val="auto"/>
          <w:sz w:val="22"/>
          <w:szCs w:val="22"/>
        </w:rPr>
        <w:t>Patient sample collection and apheresis</w:t>
      </w:r>
    </w:p>
    <w:p w14:paraId="4F6E5328" w14:textId="4EA1CB74" w:rsidR="00653CFE" w:rsidRPr="000D00A7" w:rsidRDefault="00653CFE" w:rsidP="007634FD">
      <w:pPr>
        <w:pStyle w:val="Role"/>
        <w:numPr>
          <w:ilvl w:val="0"/>
          <w:numId w:val="17"/>
        </w:numPr>
        <w:ind w:left="1134"/>
        <w:rPr>
          <w:rFonts w:asciiTheme="majorHAnsi" w:hAnsiTheme="majorHAnsi" w:cstheme="majorHAnsi"/>
          <w:b w:val="0"/>
          <w:bCs w:val="0"/>
          <w:color w:val="auto"/>
          <w:sz w:val="22"/>
          <w:szCs w:val="22"/>
        </w:rPr>
      </w:pPr>
      <w:r w:rsidRPr="000D00A7">
        <w:rPr>
          <w:rFonts w:asciiTheme="majorHAnsi" w:hAnsiTheme="majorHAnsi" w:cstheme="majorHAnsi"/>
          <w:b w:val="0"/>
          <w:bCs w:val="0"/>
          <w:color w:val="auto"/>
          <w:sz w:val="22"/>
          <w:szCs w:val="22"/>
        </w:rPr>
        <w:t xml:space="preserve">Preclinical </w:t>
      </w:r>
      <w:r w:rsidR="00F26A77">
        <w:rPr>
          <w:rFonts w:asciiTheme="majorHAnsi" w:hAnsiTheme="majorHAnsi" w:cstheme="majorHAnsi"/>
          <w:b w:val="0"/>
          <w:bCs w:val="0"/>
          <w:color w:val="auto"/>
          <w:sz w:val="22"/>
          <w:szCs w:val="22"/>
        </w:rPr>
        <w:t>testing of</w:t>
      </w:r>
      <w:r w:rsidRPr="000D00A7">
        <w:rPr>
          <w:rFonts w:asciiTheme="majorHAnsi" w:hAnsiTheme="majorHAnsi" w:cstheme="majorHAnsi"/>
          <w:b w:val="0"/>
          <w:bCs w:val="0"/>
          <w:color w:val="auto"/>
          <w:sz w:val="22"/>
          <w:szCs w:val="22"/>
        </w:rPr>
        <w:t xml:space="preserve"> small molecules, </w:t>
      </w:r>
      <w:proofErr w:type="gramStart"/>
      <w:r w:rsidRPr="000D00A7">
        <w:rPr>
          <w:rFonts w:asciiTheme="majorHAnsi" w:hAnsiTheme="majorHAnsi" w:cstheme="majorHAnsi"/>
          <w:b w:val="0"/>
          <w:bCs w:val="0"/>
          <w:color w:val="auto"/>
          <w:sz w:val="22"/>
          <w:szCs w:val="22"/>
        </w:rPr>
        <w:t>biologics</w:t>
      </w:r>
      <w:proofErr w:type="gramEnd"/>
      <w:r w:rsidRPr="000D00A7">
        <w:rPr>
          <w:rFonts w:asciiTheme="majorHAnsi" w:hAnsiTheme="majorHAnsi" w:cstheme="majorHAnsi"/>
          <w:b w:val="0"/>
          <w:bCs w:val="0"/>
          <w:color w:val="auto"/>
          <w:sz w:val="22"/>
          <w:szCs w:val="22"/>
        </w:rPr>
        <w:t xml:space="preserve"> and vaccine candidates</w:t>
      </w:r>
    </w:p>
    <w:p w14:paraId="5678F4F4" w14:textId="77777777" w:rsidR="00653CFE" w:rsidRPr="000D00A7" w:rsidRDefault="00653CFE" w:rsidP="007634FD">
      <w:pPr>
        <w:pStyle w:val="Role"/>
        <w:numPr>
          <w:ilvl w:val="0"/>
          <w:numId w:val="17"/>
        </w:numPr>
        <w:ind w:left="1134"/>
        <w:rPr>
          <w:rFonts w:asciiTheme="majorHAnsi" w:hAnsiTheme="majorHAnsi" w:cstheme="majorHAnsi"/>
          <w:b w:val="0"/>
          <w:bCs w:val="0"/>
          <w:color w:val="auto"/>
          <w:sz w:val="22"/>
          <w:szCs w:val="22"/>
        </w:rPr>
      </w:pPr>
      <w:r w:rsidRPr="000D00A7">
        <w:rPr>
          <w:rFonts w:asciiTheme="majorHAnsi" w:hAnsiTheme="majorHAnsi" w:cstheme="majorHAnsi"/>
          <w:b w:val="0"/>
          <w:bCs w:val="0"/>
          <w:color w:val="auto"/>
          <w:sz w:val="22"/>
          <w:szCs w:val="22"/>
        </w:rPr>
        <w:t>Clinical trial support</w:t>
      </w:r>
    </w:p>
    <w:p w14:paraId="1550503A" w14:textId="77777777" w:rsidR="00F0332B" w:rsidRPr="00DD7606" w:rsidRDefault="00F0332B" w:rsidP="00D32826">
      <w:pPr>
        <w:pStyle w:val="Heading2"/>
      </w:pPr>
      <w:r w:rsidRPr="00DD7606">
        <w:t>Scheme Objectives</w:t>
      </w:r>
      <w:r>
        <w:t xml:space="preserve"> and Key Features</w:t>
      </w:r>
    </w:p>
    <w:p w14:paraId="4A027989" w14:textId="7E09DAC7" w:rsidR="00CC634E" w:rsidRPr="00AC2A9A" w:rsidRDefault="210B7E85" w:rsidP="00AC2A9A">
      <w:pPr>
        <w:rPr>
          <w:lang w:val="en-GB"/>
        </w:rPr>
      </w:pPr>
      <w:r w:rsidRPr="210B7E85">
        <w:rPr>
          <w:lang w:val="en-GB"/>
        </w:rPr>
        <w:t xml:space="preserve">TIA’s Pipeline Accelerator schemes are designed to respond quickly to the needs of researchers and industry by facilitating access to expertise in national research infrastructure. The scheme has three key participants, </w:t>
      </w:r>
      <w:r w:rsidRPr="210B7E85">
        <w:rPr>
          <w:b/>
          <w:bCs/>
          <w:lang w:val="en-GB"/>
        </w:rPr>
        <w:t>Providers</w:t>
      </w:r>
      <w:r w:rsidRPr="210B7E85">
        <w:rPr>
          <w:lang w:val="en-GB"/>
        </w:rPr>
        <w:t xml:space="preserve">, </w:t>
      </w:r>
      <w:r w:rsidRPr="210B7E85">
        <w:rPr>
          <w:b/>
          <w:bCs/>
          <w:lang w:val="en-GB"/>
        </w:rPr>
        <w:t>Applicants</w:t>
      </w:r>
      <w:r w:rsidRPr="210B7E85">
        <w:rPr>
          <w:lang w:val="en-GB"/>
        </w:rPr>
        <w:t xml:space="preserve"> and </w:t>
      </w:r>
      <w:r w:rsidRPr="210B7E85">
        <w:rPr>
          <w:b/>
          <w:bCs/>
          <w:lang w:val="en-GB"/>
        </w:rPr>
        <w:t>TIA</w:t>
      </w:r>
      <w:r w:rsidRPr="210B7E85">
        <w:rPr>
          <w:lang w:val="en-GB"/>
        </w:rPr>
        <w:t xml:space="preserve">. For </w:t>
      </w:r>
      <w:r w:rsidRPr="210B7E85">
        <w:rPr>
          <w:b/>
          <w:bCs/>
          <w:lang w:val="en-GB"/>
        </w:rPr>
        <w:t>Providers</w:t>
      </w:r>
      <w:r w:rsidRPr="210B7E85">
        <w:rPr>
          <w:lang w:val="en-GB"/>
        </w:rPr>
        <w:t xml:space="preserve"> (TIA-supported facilities), the general aims of the scheme common to all rounds are to:</w:t>
      </w:r>
    </w:p>
    <w:p w14:paraId="5C9D42CD" w14:textId="0BE897B8" w:rsidR="00CC634E" w:rsidRDefault="00F0332B" w:rsidP="007634FD">
      <w:pPr>
        <w:pStyle w:val="ListParagraph"/>
        <w:numPr>
          <w:ilvl w:val="0"/>
          <w:numId w:val="9"/>
        </w:numPr>
        <w:rPr>
          <w:lang w:val="en-GB"/>
        </w:rPr>
      </w:pPr>
      <w:r>
        <w:rPr>
          <w:lang w:val="en-GB"/>
        </w:rPr>
        <w:t>E</w:t>
      </w:r>
      <w:r w:rsidR="00CC634E">
        <w:rPr>
          <w:lang w:val="en-GB"/>
        </w:rPr>
        <w:t xml:space="preserve">nable </w:t>
      </w:r>
      <w:r>
        <w:rPr>
          <w:lang w:val="en-GB"/>
        </w:rPr>
        <w:t xml:space="preserve">and increase </w:t>
      </w:r>
      <w:r w:rsidR="00AF6CE7">
        <w:rPr>
          <w:lang w:val="en-GB"/>
        </w:rPr>
        <w:t xml:space="preserve">external </w:t>
      </w:r>
      <w:r w:rsidR="00CC634E">
        <w:rPr>
          <w:lang w:val="en-GB"/>
        </w:rPr>
        <w:t xml:space="preserve">business from SMEs and </w:t>
      </w:r>
      <w:proofErr w:type="gramStart"/>
      <w:r w:rsidR="001F376F">
        <w:rPr>
          <w:lang w:val="en-GB"/>
        </w:rPr>
        <w:t>publicly</w:t>
      </w:r>
      <w:r w:rsidR="00F5607E">
        <w:rPr>
          <w:lang w:val="en-GB"/>
        </w:rPr>
        <w:t>-funded</w:t>
      </w:r>
      <w:proofErr w:type="gramEnd"/>
      <w:r w:rsidR="00F5607E">
        <w:rPr>
          <w:lang w:val="en-GB"/>
        </w:rPr>
        <w:t xml:space="preserve"> </w:t>
      </w:r>
      <w:r w:rsidR="00CC634E">
        <w:rPr>
          <w:lang w:val="en-GB"/>
        </w:rPr>
        <w:t>research groups</w:t>
      </w:r>
    </w:p>
    <w:p w14:paraId="264E8BD8" w14:textId="4A3B7E4F" w:rsidR="00CC634E" w:rsidRDefault="00CC634E" w:rsidP="007634FD">
      <w:pPr>
        <w:pStyle w:val="ListParagraph"/>
        <w:numPr>
          <w:ilvl w:val="0"/>
          <w:numId w:val="9"/>
        </w:numPr>
        <w:rPr>
          <w:lang w:val="en-GB"/>
        </w:rPr>
      </w:pPr>
      <w:r w:rsidRPr="00CA5BCB">
        <w:rPr>
          <w:lang w:val="en-GB"/>
        </w:rPr>
        <w:t xml:space="preserve">Raise the profile of the </w:t>
      </w:r>
      <w:r w:rsidR="00705B36" w:rsidRPr="00705B36">
        <w:rPr>
          <w:lang w:val="en-GB"/>
        </w:rPr>
        <w:t xml:space="preserve">TIA facilities </w:t>
      </w:r>
      <w:r w:rsidR="00AC2A9A">
        <w:rPr>
          <w:lang w:val="en-GB"/>
        </w:rPr>
        <w:t xml:space="preserve">and </w:t>
      </w:r>
      <w:r w:rsidR="00D8462C">
        <w:rPr>
          <w:lang w:val="en-GB"/>
        </w:rPr>
        <w:t>their</w:t>
      </w:r>
      <w:r w:rsidR="00AC2A9A">
        <w:rPr>
          <w:lang w:val="en-GB"/>
        </w:rPr>
        <w:t xml:space="preserve"> capabilities within </w:t>
      </w:r>
      <w:r w:rsidRPr="00CA5BCB">
        <w:rPr>
          <w:lang w:val="en-GB"/>
        </w:rPr>
        <w:t xml:space="preserve">the </w:t>
      </w:r>
      <w:r w:rsidR="00690FCF">
        <w:rPr>
          <w:lang w:val="en-GB"/>
        </w:rPr>
        <w:t>Australian research community</w:t>
      </w:r>
    </w:p>
    <w:p w14:paraId="22296440" w14:textId="26954211" w:rsidR="00826ADB" w:rsidRPr="00AC2A9A" w:rsidRDefault="00826ADB" w:rsidP="007634FD">
      <w:pPr>
        <w:pStyle w:val="ListParagraph"/>
        <w:numPr>
          <w:ilvl w:val="0"/>
          <w:numId w:val="9"/>
        </w:numPr>
        <w:rPr>
          <w:lang w:val="en-GB"/>
        </w:rPr>
      </w:pPr>
      <w:r>
        <w:rPr>
          <w:lang w:val="en-GB"/>
        </w:rPr>
        <w:t>Incentivise collaborative projects, leading to more effective</w:t>
      </w:r>
      <w:r w:rsidR="00690FCF">
        <w:rPr>
          <w:lang w:val="en-GB"/>
        </w:rPr>
        <w:t xml:space="preserve"> use of research infrastructure</w:t>
      </w:r>
    </w:p>
    <w:p w14:paraId="3578B6F0" w14:textId="6080CB19" w:rsidR="00CC634E" w:rsidRDefault="00CC634E" w:rsidP="00AC2A9A">
      <w:pPr>
        <w:rPr>
          <w:lang w:val="en-GB"/>
        </w:rPr>
      </w:pPr>
      <w:r>
        <w:rPr>
          <w:lang w:val="en-GB"/>
        </w:rPr>
        <w:t xml:space="preserve">For </w:t>
      </w:r>
      <w:r w:rsidR="006C40FD" w:rsidRPr="006C40FD">
        <w:rPr>
          <w:b/>
          <w:lang w:val="en-GB"/>
        </w:rPr>
        <w:t>Applicants</w:t>
      </w:r>
      <w:r w:rsidR="006C40FD">
        <w:rPr>
          <w:lang w:val="en-GB"/>
        </w:rPr>
        <w:t xml:space="preserve"> </w:t>
      </w:r>
      <w:r>
        <w:rPr>
          <w:lang w:val="en-GB"/>
        </w:rPr>
        <w:t>(public and private sector researchers)</w:t>
      </w:r>
      <w:r w:rsidR="00690FCF">
        <w:rPr>
          <w:lang w:val="en-GB"/>
        </w:rPr>
        <w:t xml:space="preserve"> the aims of the scheme are to:</w:t>
      </w:r>
    </w:p>
    <w:p w14:paraId="1E0E6308" w14:textId="2B4FA0F0" w:rsidR="00CC634E" w:rsidRDefault="00CC634E" w:rsidP="007634FD">
      <w:pPr>
        <w:pStyle w:val="ListParagraph"/>
        <w:numPr>
          <w:ilvl w:val="0"/>
          <w:numId w:val="9"/>
        </w:numPr>
        <w:rPr>
          <w:lang w:val="en-GB"/>
        </w:rPr>
      </w:pPr>
      <w:r w:rsidRPr="00CA5BCB">
        <w:rPr>
          <w:lang w:val="en-GB"/>
        </w:rPr>
        <w:t xml:space="preserve">Provide a mechanism for financially supporting and enabling </w:t>
      </w:r>
      <w:r w:rsidR="00626C9E">
        <w:rPr>
          <w:lang w:val="en-GB"/>
        </w:rPr>
        <w:t xml:space="preserve">hard-to-fund </w:t>
      </w:r>
      <w:r w:rsidR="00705B36" w:rsidRPr="00705B36">
        <w:rPr>
          <w:lang w:val="en-GB"/>
        </w:rPr>
        <w:t>activities</w:t>
      </w:r>
      <w:r w:rsidR="00626C9E">
        <w:rPr>
          <w:lang w:val="en-GB"/>
        </w:rPr>
        <w:t xml:space="preserve"> </w:t>
      </w:r>
    </w:p>
    <w:p w14:paraId="19BC5014" w14:textId="68FE80C6" w:rsidR="00CC634E" w:rsidRPr="00CA5BCB" w:rsidRDefault="00CC634E" w:rsidP="007634FD">
      <w:pPr>
        <w:pStyle w:val="ListParagraph"/>
        <w:numPr>
          <w:ilvl w:val="0"/>
          <w:numId w:val="9"/>
        </w:numPr>
        <w:rPr>
          <w:lang w:val="en-GB"/>
        </w:rPr>
      </w:pPr>
      <w:r>
        <w:rPr>
          <w:lang w:val="en-GB"/>
        </w:rPr>
        <w:t>Lower the financial bar to access high quality translational research services</w:t>
      </w:r>
    </w:p>
    <w:p w14:paraId="696F9EFA" w14:textId="77777777" w:rsidR="00AE41E8" w:rsidRDefault="00AE41E8" w:rsidP="00442EA4">
      <w:pPr>
        <w:spacing w:after="0"/>
        <w:rPr>
          <w:lang w:val="en-GB"/>
        </w:rPr>
      </w:pPr>
    </w:p>
    <w:p w14:paraId="12889838" w14:textId="424E56A7" w:rsidR="00442EA4" w:rsidRDefault="00442EA4" w:rsidP="00AE41E8">
      <w:pPr>
        <w:spacing w:after="0"/>
        <w:rPr>
          <w:lang w:val="en-GB"/>
        </w:rPr>
      </w:pPr>
      <w:r>
        <w:rPr>
          <w:lang w:val="en-GB"/>
        </w:rPr>
        <w:t>To obtain a voucher, t</w:t>
      </w:r>
      <w:r w:rsidRPr="1505D6EF">
        <w:rPr>
          <w:lang w:val="en-GB"/>
        </w:rPr>
        <w:t xml:space="preserve">he project must require access to a TIA -supported facility (see </w:t>
      </w:r>
      <w:r w:rsidRPr="1505D6EF">
        <w:rPr>
          <w:b/>
          <w:bCs/>
          <w:color w:val="4F80BD"/>
          <w:lang w:val="en-GB"/>
        </w:rPr>
        <w:t>Eligibility of Providers</w:t>
      </w:r>
      <w:r w:rsidRPr="1505D6EF">
        <w:rPr>
          <w:lang w:val="en-GB"/>
        </w:rPr>
        <w:t xml:space="preserve"> below). Applications must be made with </w:t>
      </w:r>
      <w:r w:rsidRPr="007F7B7A">
        <w:rPr>
          <w:lang w:val="en-GB"/>
        </w:rPr>
        <w:t xml:space="preserve">the Providers involvement and agreement. </w:t>
      </w:r>
      <w:r w:rsidRPr="007F7B7A">
        <w:rPr>
          <w:lang w:val="en-GB"/>
        </w:rPr>
        <w:lastRenderedPageBreak/>
        <w:t xml:space="preserve">Funding is via a fixed-value allocation of </w:t>
      </w:r>
      <w:r w:rsidRPr="007F7B7A">
        <w:rPr>
          <w:b/>
          <w:bCs/>
          <w:lang w:val="en-GB"/>
        </w:rPr>
        <w:t>either</w:t>
      </w:r>
      <w:r w:rsidRPr="007F7B7A">
        <w:rPr>
          <w:lang w:val="en-GB"/>
        </w:rPr>
        <w:t xml:space="preserve"> $20,000 </w:t>
      </w:r>
      <w:r w:rsidR="00822C7D" w:rsidRPr="007F7B7A">
        <w:rPr>
          <w:lang w:val="en-GB"/>
        </w:rPr>
        <w:t>ex</w:t>
      </w:r>
      <w:r w:rsidRPr="007F7B7A">
        <w:rPr>
          <w:lang w:val="en-GB"/>
        </w:rPr>
        <w:t xml:space="preserve"> GST </w:t>
      </w:r>
      <w:r w:rsidRPr="007F7B7A">
        <w:rPr>
          <w:b/>
          <w:bCs/>
          <w:lang w:val="en-GB"/>
        </w:rPr>
        <w:t>or</w:t>
      </w:r>
      <w:r w:rsidRPr="007F7B7A">
        <w:rPr>
          <w:lang w:val="en-GB"/>
        </w:rPr>
        <w:t xml:space="preserve"> $50,000 </w:t>
      </w:r>
      <w:r w:rsidR="00822C7D" w:rsidRPr="007F7B7A">
        <w:rPr>
          <w:lang w:val="en-GB"/>
        </w:rPr>
        <w:t>ex</w:t>
      </w:r>
      <w:r w:rsidRPr="007F7B7A">
        <w:rPr>
          <w:lang w:val="en-GB"/>
        </w:rPr>
        <w:t xml:space="preserve"> </w:t>
      </w:r>
      <w:r w:rsidR="00632A34" w:rsidRPr="007F7B7A">
        <w:rPr>
          <w:lang w:val="en-GB"/>
        </w:rPr>
        <w:t>GST</w:t>
      </w:r>
      <w:r w:rsidR="00632A34" w:rsidRPr="1505D6EF">
        <w:rPr>
          <w:lang w:val="en-GB"/>
        </w:rPr>
        <w:t xml:space="preserve"> and</w:t>
      </w:r>
      <w:r>
        <w:rPr>
          <w:lang w:val="en-GB"/>
        </w:rPr>
        <w:t xml:space="preserve"> </w:t>
      </w:r>
      <w:r w:rsidRPr="1505D6EF">
        <w:rPr>
          <w:lang w:val="en-GB"/>
        </w:rPr>
        <w:t xml:space="preserve">will be provided directly to the service provider at project commencement, </w:t>
      </w:r>
      <w:r w:rsidRPr="1505D6EF">
        <w:rPr>
          <w:b/>
          <w:bCs/>
          <w:lang w:val="en-GB"/>
        </w:rPr>
        <w:t>allowing this cost saving to be passed to the Applicant</w:t>
      </w:r>
      <w:r w:rsidRPr="1505D6EF">
        <w:rPr>
          <w:lang w:val="en-GB"/>
        </w:rPr>
        <w:t>.</w:t>
      </w:r>
      <w:r>
        <w:rPr>
          <w:lang w:val="en-GB"/>
        </w:rPr>
        <w:t xml:space="preserve"> The voucher may </w:t>
      </w:r>
      <w:r w:rsidRPr="00D40F1B">
        <w:rPr>
          <w:b/>
          <w:bCs/>
          <w:lang w:val="en-GB"/>
        </w:rPr>
        <w:t>contribute</w:t>
      </w:r>
      <w:r>
        <w:rPr>
          <w:lang w:val="en-GB"/>
        </w:rPr>
        <w:t xml:space="preserve"> to the cost of accessing a </w:t>
      </w:r>
      <w:r w:rsidR="00EE4629">
        <w:rPr>
          <w:lang w:val="en-GB"/>
        </w:rPr>
        <w:t>facility but</w:t>
      </w:r>
      <w:r>
        <w:rPr>
          <w:lang w:val="en-GB"/>
        </w:rPr>
        <w:t xml:space="preserve"> cannot cover or exceed the entire cost.</w:t>
      </w:r>
    </w:p>
    <w:p w14:paraId="2293943B" w14:textId="77777777" w:rsidR="00442EA4" w:rsidRDefault="00442EA4" w:rsidP="00AE41E8">
      <w:pPr>
        <w:spacing w:after="0"/>
        <w:rPr>
          <w:lang w:val="en-GB"/>
        </w:rPr>
      </w:pPr>
    </w:p>
    <w:p w14:paraId="2406ECC8" w14:textId="4E84F75F" w:rsidR="00CC634E" w:rsidRPr="00AC2A9A" w:rsidRDefault="00CC634E" w:rsidP="00AE41E8">
      <w:pPr>
        <w:rPr>
          <w:lang w:val="en-GB"/>
        </w:rPr>
      </w:pPr>
      <w:r w:rsidRPr="74DB9351">
        <w:rPr>
          <w:lang w:val="en-GB"/>
        </w:rPr>
        <w:t xml:space="preserve">For </w:t>
      </w:r>
      <w:r w:rsidRPr="74DB9351">
        <w:rPr>
          <w:b/>
          <w:bCs/>
          <w:lang w:val="en-GB"/>
        </w:rPr>
        <w:t>TIA</w:t>
      </w:r>
      <w:r w:rsidR="009B3668" w:rsidRPr="74DB9351">
        <w:rPr>
          <w:lang w:val="en-GB"/>
        </w:rPr>
        <w:t xml:space="preserve"> the aims of the scheme are to</w:t>
      </w:r>
    </w:p>
    <w:p w14:paraId="48092112" w14:textId="4B4831D1" w:rsidR="00085FE5" w:rsidRDefault="210B7E85" w:rsidP="007634FD">
      <w:pPr>
        <w:pStyle w:val="ListParagraph"/>
        <w:numPr>
          <w:ilvl w:val="0"/>
          <w:numId w:val="9"/>
        </w:numPr>
        <w:spacing w:after="0"/>
        <w:rPr>
          <w:lang w:val="en-GB"/>
        </w:rPr>
      </w:pPr>
      <w:r w:rsidRPr="210B7E85">
        <w:rPr>
          <w:lang w:val="en-GB"/>
        </w:rPr>
        <w:t xml:space="preserve">Support access to facilities </w:t>
      </w:r>
    </w:p>
    <w:p w14:paraId="088C9D0D" w14:textId="21469944" w:rsidR="007D1448" w:rsidRDefault="009B3668" w:rsidP="007634FD">
      <w:pPr>
        <w:pStyle w:val="ListParagraph"/>
        <w:numPr>
          <w:ilvl w:val="0"/>
          <w:numId w:val="9"/>
        </w:numPr>
        <w:rPr>
          <w:lang w:val="en-GB"/>
        </w:rPr>
      </w:pPr>
      <w:r>
        <w:rPr>
          <w:lang w:val="en-GB"/>
        </w:rPr>
        <w:t xml:space="preserve">Enable </w:t>
      </w:r>
      <w:r w:rsidR="007D1448" w:rsidRPr="00CA5BCB">
        <w:rPr>
          <w:lang w:val="en-GB"/>
        </w:rPr>
        <w:t xml:space="preserve">co-investment </w:t>
      </w:r>
      <w:r>
        <w:rPr>
          <w:lang w:val="en-GB"/>
        </w:rPr>
        <w:t>with NCRIS funding</w:t>
      </w:r>
    </w:p>
    <w:p w14:paraId="111E4F49" w14:textId="39FB0F3F" w:rsidR="00626C9E" w:rsidRDefault="00626C9E" w:rsidP="007634FD">
      <w:pPr>
        <w:pStyle w:val="ListParagraph"/>
        <w:numPr>
          <w:ilvl w:val="0"/>
          <w:numId w:val="9"/>
        </w:numPr>
        <w:rPr>
          <w:lang w:val="en-GB"/>
        </w:rPr>
      </w:pPr>
      <w:r>
        <w:rPr>
          <w:lang w:val="en-GB"/>
        </w:rPr>
        <w:t xml:space="preserve">Increase external access to </w:t>
      </w:r>
      <w:r w:rsidR="009B3668">
        <w:rPr>
          <w:lang w:val="en-GB"/>
        </w:rPr>
        <w:t xml:space="preserve">national </w:t>
      </w:r>
      <w:r>
        <w:rPr>
          <w:lang w:val="en-GB"/>
        </w:rPr>
        <w:t>research infrastructure</w:t>
      </w:r>
    </w:p>
    <w:p w14:paraId="59B86F09" w14:textId="688A9A8D" w:rsidR="00CC634E" w:rsidRDefault="00CC634E" w:rsidP="007634FD">
      <w:pPr>
        <w:pStyle w:val="ListParagraph"/>
        <w:numPr>
          <w:ilvl w:val="0"/>
          <w:numId w:val="9"/>
        </w:numPr>
        <w:rPr>
          <w:lang w:val="en-GB"/>
        </w:rPr>
      </w:pPr>
      <w:r w:rsidRPr="00CA5BCB">
        <w:rPr>
          <w:lang w:val="en-GB"/>
        </w:rPr>
        <w:t xml:space="preserve">Provide a means to </w:t>
      </w:r>
      <w:r w:rsidR="009B3668">
        <w:rPr>
          <w:lang w:val="en-GB"/>
        </w:rPr>
        <w:t xml:space="preserve">identify and </w:t>
      </w:r>
      <w:r w:rsidRPr="00CA5BCB">
        <w:rPr>
          <w:lang w:val="en-GB"/>
        </w:rPr>
        <w:t xml:space="preserve">track progress of </w:t>
      </w:r>
      <w:r w:rsidR="00085FE5">
        <w:rPr>
          <w:lang w:val="en-GB"/>
        </w:rPr>
        <w:t>supported</w:t>
      </w:r>
      <w:r w:rsidR="009B3668">
        <w:rPr>
          <w:lang w:val="en-GB"/>
        </w:rPr>
        <w:t xml:space="preserve"> </w:t>
      </w:r>
      <w:r w:rsidRPr="00CA5BCB">
        <w:rPr>
          <w:lang w:val="en-GB"/>
        </w:rPr>
        <w:t>projects</w:t>
      </w:r>
    </w:p>
    <w:p w14:paraId="5DE33203" w14:textId="553BA297" w:rsidR="00CA5BCB" w:rsidRDefault="00CA5BCB" w:rsidP="007634FD">
      <w:pPr>
        <w:pStyle w:val="ListParagraph"/>
        <w:numPr>
          <w:ilvl w:val="0"/>
          <w:numId w:val="9"/>
        </w:numPr>
        <w:rPr>
          <w:lang w:val="en-GB"/>
        </w:rPr>
      </w:pPr>
      <w:r>
        <w:rPr>
          <w:lang w:val="en-GB"/>
        </w:rPr>
        <w:t>Provide case studies and exemplars</w:t>
      </w:r>
      <w:r w:rsidR="009F1903">
        <w:rPr>
          <w:lang w:val="en-GB"/>
        </w:rPr>
        <w:t xml:space="preserve"> for TIA reporting</w:t>
      </w:r>
      <w:r w:rsidR="00CF4B09">
        <w:rPr>
          <w:lang w:val="en-GB"/>
        </w:rPr>
        <w:t xml:space="preserve"> to governmen</w:t>
      </w:r>
      <w:r w:rsidR="00F35379">
        <w:rPr>
          <w:lang w:val="en-GB"/>
        </w:rPr>
        <w:t>t</w:t>
      </w:r>
    </w:p>
    <w:p w14:paraId="427CD6D8" w14:textId="76330DE2" w:rsidR="00A8430F" w:rsidRDefault="00073304" w:rsidP="00AE41E8">
      <w:pPr>
        <w:pStyle w:val="Heading2"/>
        <w:rPr>
          <w:lang w:val="en-GB"/>
        </w:rPr>
      </w:pPr>
      <w:r>
        <w:rPr>
          <w:lang w:val="en-GB"/>
        </w:rPr>
        <w:t xml:space="preserve">Eligibility of </w:t>
      </w:r>
      <w:r w:rsidR="003925BD">
        <w:rPr>
          <w:lang w:val="en-GB"/>
        </w:rPr>
        <w:t>Applicants</w:t>
      </w:r>
    </w:p>
    <w:p w14:paraId="243993F7" w14:textId="76769113" w:rsidR="00A8430F" w:rsidRDefault="00A8430F" w:rsidP="00AE41E8">
      <w:pPr>
        <w:rPr>
          <w:lang w:val="en-GB"/>
        </w:rPr>
      </w:pPr>
      <w:r>
        <w:rPr>
          <w:lang w:val="en-GB"/>
        </w:rPr>
        <w:t>The Pipeline Accelerator scheme is open to</w:t>
      </w:r>
      <w:r w:rsidR="00AC2A9A">
        <w:rPr>
          <w:lang w:val="en-GB"/>
        </w:rPr>
        <w:t xml:space="preserve"> applications from</w:t>
      </w:r>
      <w:r>
        <w:rPr>
          <w:lang w:val="en-GB"/>
        </w:rPr>
        <w:t xml:space="preserve"> the following organisations</w:t>
      </w:r>
      <w:r w:rsidR="003925BD">
        <w:rPr>
          <w:lang w:val="en-GB"/>
        </w:rPr>
        <w:t>:</w:t>
      </w:r>
    </w:p>
    <w:p w14:paraId="10F1EBAF" w14:textId="5BC98313" w:rsidR="003925BD" w:rsidRDefault="00A8430F" w:rsidP="007634FD">
      <w:pPr>
        <w:pStyle w:val="ListParagraph"/>
        <w:numPr>
          <w:ilvl w:val="0"/>
          <w:numId w:val="11"/>
        </w:numPr>
        <w:rPr>
          <w:lang w:val="en-GB"/>
        </w:rPr>
      </w:pPr>
      <w:r>
        <w:rPr>
          <w:lang w:val="en-GB"/>
        </w:rPr>
        <w:t>University</w:t>
      </w:r>
      <w:r w:rsidR="003925BD">
        <w:rPr>
          <w:lang w:val="en-GB"/>
        </w:rPr>
        <w:t>-based research</w:t>
      </w:r>
      <w:r w:rsidR="00481815">
        <w:rPr>
          <w:lang w:val="en-GB"/>
        </w:rPr>
        <w:t>ers and research</w:t>
      </w:r>
      <w:r w:rsidR="003925BD">
        <w:rPr>
          <w:lang w:val="en-GB"/>
        </w:rPr>
        <w:t xml:space="preserve"> groups</w:t>
      </w:r>
    </w:p>
    <w:p w14:paraId="6FD4553C" w14:textId="3D063845" w:rsidR="00AE273C" w:rsidRPr="005C2FC7" w:rsidRDefault="00AE273C" w:rsidP="007634FD">
      <w:pPr>
        <w:pStyle w:val="ListParagraph"/>
        <w:numPr>
          <w:ilvl w:val="0"/>
          <w:numId w:val="11"/>
        </w:numPr>
        <w:rPr>
          <w:lang w:val="en-GB"/>
        </w:rPr>
      </w:pPr>
      <w:r>
        <w:rPr>
          <w:lang w:val="en-GB"/>
        </w:rPr>
        <w:t>Research groups within Public</w:t>
      </w:r>
      <w:r w:rsidR="00442EA4">
        <w:rPr>
          <w:lang w:val="en-GB"/>
        </w:rPr>
        <w:t>ly</w:t>
      </w:r>
      <w:r>
        <w:rPr>
          <w:lang w:val="en-GB"/>
        </w:rPr>
        <w:t xml:space="preserve"> Funded Research Organisations, including Medical Research Institutes</w:t>
      </w:r>
    </w:p>
    <w:p w14:paraId="1593EA28" w14:textId="32A97FC4" w:rsidR="00A8430F" w:rsidRDefault="003925BD" w:rsidP="007634FD">
      <w:pPr>
        <w:pStyle w:val="ListParagraph"/>
        <w:numPr>
          <w:ilvl w:val="0"/>
          <w:numId w:val="11"/>
        </w:numPr>
        <w:rPr>
          <w:lang w:val="en-GB"/>
        </w:rPr>
      </w:pPr>
      <w:r>
        <w:rPr>
          <w:lang w:val="en-GB"/>
        </w:rPr>
        <w:t>University</w:t>
      </w:r>
      <w:r w:rsidR="00AE273C">
        <w:rPr>
          <w:lang w:val="en-GB"/>
        </w:rPr>
        <w:t xml:space="preserve"> or Medical Research Institute’s</w:t>
      </w:r>
      <w:r>
        <w:rPr>
          <w:lang w:val="en-GB"/>
        </w:rPr>
        <w:t xml:space="preserve"> </w:t>
      </w:r>
      <w:r w:rsidR="00A8430F">
        <w:rPr>
          <w:lang w:val="en-GB"/>
        </w:rPr>
        <w:t xml:space="preserve">technology transfer </w:t>
      </w:r>
      <w:r w:rsidR="00AE273C">
        <w:rPr>
          <w:lang w:val="en-GB"/>
        </w:rPr>
        <w:t>office</w:t>
      </w:r>
      <w:r w:rsidR="00442EA4">
        <w:rPr>
          <w:lang w:val="en-GB"/>
        </w:rPr>
        <w:t>s</w:t>
      </w:r>
      <w:r w:rsidR="00AE273C">
        <w:rPr>
          <w:lang w:val="en-GB"/>
        </w:rPr>
        <w:t xml:space="preserve"> or </w:t>
      </w:r>
      <w:r w:rsidR="00604819">
        <w:rPr>
          <w:lang w:val="en-GB"/>
        </w:rPr>
        <w:t>organisations</w:t>
      </w:r>
      <w:r w:rsidR="000544A2">
        <w:rPr>
          <w:lang w:val="en-GB"/>
        </w:rPr>
        <w:t>, and university</w:t>
      </w:r>
      <w:r w:rsidR="00503E3D">
        <w:rPr>
          <w:lang w:val="en-GB"/>
        </w:rPr>
        <w:t>/MRI</w:t>
      </w:r>
      <w:r w:rsidR="000544A2">
        <w:rPr>
          <w:lang w:val="en-GB"/>
        </w:rPr>
        <w:t xml:space="preserve"> </w:t>
      </w:r>
      <w:proofErr w:type="gramStart"/>
      <w:r w:rsidR="000544A2">
        <w:rPr>
          <w:lang w:val="en-GB"/>
        </w:rPr>
        <w:t>spin-outs</w:t>
      </w:r>
      <w:proofErr w:type="gramEnd"/>
    </w:p>
    <w:p w14:paraId="67B9C61A" w14:textId="77777777" w:rsidR="009615C9" w:rsidRDefault="003925BD" w:rsidP="007634FD">
      <w:pPr>
        <w:pStyle w:val="ListParagraph"/>
        <w:numPr>
          <w:ilvl w:val="0"/>
          <w:numId w:val="11"/>
        </w:numPr>
        <w:rPr>
          <w:lang w:val="en-GB"/>
        </w:rPr>
      </w:pPr>
      <w:r>
        <w:rPr>
          <w:lang w:val="en-GB"/>
        </w:rPr>
        <w:t xml:space="preserve">Commercial </w:t>
      </w:r>
      <w:r w:rsidR="00F20388">
        <w:rPr>
          <w:lang w:val="en-GB"/>
        </w:rPr>
        <w:t>entities</w:t>
      </w:r>
      <w:r>
        <w:rPr>
          <w:lang w:val="en-GB"/>
        </w:rPr>
        <w:t xml:space="preserve"> that meet the </w:t>
      </w:r>
      <w:r w:rsidR="00454DF7">
        <w:rPr>
          <w:lang w:val="en-GB"/>
        </w:rPr>
        <w:t xml:space="preserve">general </w:t>
      </w:r>
      <w:r>
        <w:rPr>
          <w:lang w:val="en-GB"/>
        </w:rPr>
        <w:t xml:space="preserve">eligibility criteria for the </w:t>
      </w:r>
      <w:hyperlink r:id="rId11" w:history="1">
        <w:r w:rsidRPr="003925BD">
          <w:rPr>
            <w:rStyle w:val="Hyperlink"/>
            <w:lang w:val="en-GB"/>
          </w:rPr>
          <w:t>R&amp;D Tax Incentive</w:t>
        </w:r>
      </w:hyperlink>
      <w:r>
        <w:rPr>
          <w:lang w:val="en-GB"/>
        </w:rPr>
        <w:t>.</w:t>
      </w:r>
    </w:p>
    <w:p w14:paraId="24A34E09" w14:textId="00BBA8AB" w:rsidR="005C2FC7" w:rsidRPr="00B2386A" w:rsidRDefault="005C2FC7" w:rsidP="007634FD">
      <w:pPr>
        <w:pStyle w:val="ListParagraph"/>
        <w:numPr>
          <w:ilvl w:val="0"/>
          <w:numId w:val="11"/>
        </w:numPr>
        <w:rPr>
          <w:lang w:val="en-GB"/>
        </w:rPr>
      </w:pPr>
      <w:r w:rsidRPr="009615C9">
        <w:rPr>
          <w:b/>
          <w:bCs/>
          <w:lang w:val="en-GB"/>
        </w:rPr>
        <w:t xml:space="preserve">Applications from international </w:t>
      </w:r>
      <w:r w:rsidR="002600C2" w:rsidRPr="009615C9">
        <w:rPr>
          <w:b/>
          <w:bCs/>
          <w:lang w:val="en-GB"/>
        </w:rPr>
        <w:t>organisations</w:t>
      </w:r>
      <w:r w:rsidRPr="009615C9">
        <w:rPr>
          <w:b/>
          <w:bCs/>
          <w:lang w:val="en-GB"/>
        </w:rPr>
        <w:t xml:space="preserve"> will </w:t>
      </w:r>
      <w:r w:rsidR="009615C9" w:rsidRPr="009615C9">
        <w:rPr>
          <w:b/>
          <w:bCs/>
          <w:lang w:val="en-GB"/>
        </w:rPr>
        <w:t xml:space="preserve">also </w:t>
      </w:r>
      <w:r w:rsidRPr="009615C9">
        <w:rPr>
          <w:b/>
          <w:bCs/>
          <w:lang w:val="en-GB"/>
        </w:rPr>
        <w:t>be considered</w:t>
      </w:r>
      <w:r w:rsidR="00B2386A">
        <w:rPr>
          <w:b/>
          <w:bCs/>
          <w:lang w:val="en-GB"/>
        </w:rPr>
        <w:t>.</w:t>
      </w:r>
    </w:p>
    <w:p w14:paraId="524464EA" w14:textId="4DC082B0" w:rsidR="00B2386A" w:rsidRPr="00B2386A" w:rsidRDefault="00B2386A" w:rsidP="00B2386A">
      <w:pPr>
        <w:rPr>
          <w:lang w:val="en-GB"/>
        </w:rPr>
      </w:pPr>
      <w:r>
        <w:rPr>
          <w:lang w:val="en-GB"/>
        </w:rPr>
        <w:t>In accordance with NCRIS principles around access to research infrastructure, a</w:t>
      </w:r>
      <w:r w:rsidRPr="00B2386A">
        <w:rPr>
          <w:lang w:val="en-GB"/>
        </w:rPr>
        <w:t>pplications that seek to access facilities outside their academic unit or host entity will generally be favoured.</w:t>
      </w:r>
    </w:p>
    <w:p w14:paraId="7D6FC0C2" w14:textId="508BB78D" w:rsidR="00073304" w:rsidRDefault="00073304" w:rsidP="00D32826">
      <w:pPr>
        <w:pStyle w:val="Heading2"/>
        <w:rPr>
          <w:lang w:val="en-GB"/>
        </w:rPr>
      </w:pPr>
      <w:r>
        <w:rPr>
          <w:lang w:val="en-GB"/>
        </w:rPr>
        <w:t>Eligibility</w:t>
      </w:r>
      <w:r w:rsidR="008961FC">
        <w:rPr>
          <w:lang w:val="en-GB"/>
        </w:rPr>
        <w:t xml:space="preserve"> of </w:t>
      </w:r>
      <w:r w:rsidR="003925BD">
        <w:rPr>
          <w:lang w:val="en-GB"/>
        </w:rPr>
        <w:t>Providers</w:t>
      </w:r>
    </w:p>
    <w:p w14:paraId="2F3CB517" w14:textId="638548CD" w:rsidR="00274BCB" w:rsidRDefault="00B26DBB" w:rsidP="00274BCB">
      <w:pPr>
        <w:rPr>
          <w:color w:val="000000" w:themeColor="text1"/>
          <w:lang w:val="en-GB"/>
        </w:rPr>
      </w:pPr>
      <w:r w:rsidRPr="00074658">
        <w:rPr>
          <w:rFonts w:cs="Calibri"/>
          <w:b/>
          <w:bCs/>
          <w:color w:val="000000" w:themeColor="text1"/>
          <w:u w:val="single"/>
          <w:lang w:val="en-GB"/>
        </w:rPr>
        <w:t>Only</w:t>
      </w:r>
      <w:r w:rsidRPr="00074658">
        <w:rPr>
          <w:rFonts w:cs="Calibri"/>
          <w:color w:val="000000" w:themeColor="text1"/>
          <w:lang w:val="en-GB"/>
        </w:rPr>
        <w:t xml:space="preserve"> t</w:t>
      </w:r>
      <w:r w:rsidR="0050606E" w:rsidRPr="00074658">
        <w:rPr>
          <w:rFonts w:cs="Calibri"/>
          <w:color w:val="000000" w:themeColor="text1"/>
          <w:lang w:val="en-GB"/>
        </w:rPr>
        <w:t xml:space="preserve">he following </w:t>
      </w:r>
      <w:r w:rsidR="00F35379" w:rsidRPr="00074658">
        <w:rPr>
          <w:rFonts w:cs="Calibri"/>
          <w:color w:val="000000" w:themeColor="text1"/>
          <w:lang w:val="en-GB"/>
        </w:rPr>
        <w:t xml:space="preserve">facilities </w:t>
      </w:r>
      <w:r w:rsidR="0050606E" w:rsidRPr="00074658">
        <w:rPr>
          <w:rFonts w:cs="Calibri"/>
          <w:color w:val="000000" w:themeColor="text1"/>
          <w:lang w:val="en-GB"/>
        </w:rPr>
        <w:t xml:space="preserve">are eligible for </w:t>
      </w:r>
      <w:r w:rsidR="00442EA4" w:rsidRPr="00074658">
        <w:rPr>
          <w:rFonts w:cs="Calibri"/>
          <w:color w:val="000000" w:themeColor="text1"/>
          <w:lang w:val="en-GB"/>
        </w:rPr>
        <w:t xml:space="preserve">voucher </w:t>
      </w:r>
      <w:r w:rsidR="0050606E" w:rsidRPr="00074658">
        <w:rPr>
          <w:rFonts w:cs="Calibri"/>
          <w:color w:val="000000" w:themeColor="text1"/>
          <w:lang w:val="en-GB"/>
        </w:rPr>
        <w:t>support from this round of the scheme</w:t>
      </w:r>
      <w:r w:rsidR="006E5E02">
        <w:rPr>
          <w:rFonts w:cs="Calibri"/>
          <w:color w:val="000000" w:themeColor="text1"/>
          <w:lang w:val="en-GB"/>
        </w:rPr>
        <w:t xml:space="preserve"> </w:t>
      </w:r>
      <w:r w:rsidR="00D76F8A" w:rsidRPr="00074658">
        <w:rPr>
          <w:rFonts w:cs="Calibri"/>
          <w:color w:val="000000" w:themeColor="text1"/>
          <w:lang w:val="en-GB"/>
        </w:rPr>
        <w:t>(“Providers”)</w:t>
      </w:r>
      <w:r w:rsidR="00274BCB" w:rsidRPr="00074658">
        <w:rPr>
          <w:rFonts w:cs="Calibri"/>
          <w:color w:val="000000" w:themeColor="text1"/>
          <w:lang w:val="en-GB"/>
        </w:rPr>
        <w:t xml:space="preserve">. Multiple Providers </w:t>
      </w:r>
      <w:r w:rsidR="00DA3376" w:rsidRPr="00074658">
        <w:rPr>
          <w:rFonts w:cs="Calibri"/>
          <w:color w:val="000000" w:themeColor="text1"/>
          <w:lang w:val="en-GB"/>
        </w:rPr>
        <w:t>may</w:t>
      </w:r>
      <w:r w:rsidR="00274BCB" w:rsidRPr="00074658">
        <w:rPr>
          <w:rFonts w:cs="Calibri"/>
          <w:color w:val="000000" w:themeColor="text1"/>
          <w:lang w:val="en-GB"/>
        </w:rPr>
        <w:t xml:space="preserve"> be named on a single application if the project makes use of capabilities at several different facilities. </w:t>
      </w:r>
      <w:r w:rsidR="00274BCB" w:rsidRPr="00074658">
        <w:rPr>
          <w:color w:val="000000" w:themeColor="text1"/>
          <w:lang w:val="en-GB"/>
        </w:rPr>
        <w:t>This list of providers may be amended for future rounds, subject to demand.</w:t>
      </w:r>
    </w:p>
    <w:tbl>
      <w:tblPr>
        <w:tblStyle w:val="GridTable4-Accent110"/>
        <w:tblW w:w="9748" w:type="dxa"/>
        <w:tblInd w:w="0" w:type="dxa"/>
        <w:tblLayout w:type="fixed"/>
        <w:tblLook w:val="04A0" w:firstRow="1" w:lastRow="0" w:firstColumn="1" w:lastColumn="0" w:noHBand="0" w:noVBand="1"/>
      </w:tblPr>
      <w:tblGrid>
        <w:gridCol w:w="1413"/>
        <w:gridCol w:w="3373"/>
        <w:gridCol w:w="1843"/>
        <w:gridCol w:w="3119"/>
      </w:tblGrid>
      <w:tr w:rsidR="0030314C" w14:paraId="6C58EB92" w14:textId="77777777" w:rsidTr="00684D2F">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1413" w:type="dxa"/>
            <w:hideMark/>
          </w:tcPr>
          <w:p w14:paraId="2531F187" w14:textId="208D545D" w:rsidR="003C500D" w:rsidRDefault="003C500D">
            <w:pPr>
              <w:spacing w:after="0" w:line="276" w:lineRule="auto"/>
              <w:rPr>
                <w:rFonts w:asciiTheme="majorHAnsi" w:eastAsia="Times New Roman" w:hAnsiTheme="majorHAnsi" w:cs="Calibri"/>
                <w:sz w:val="20"/>
              </w:rPr>
            </w:pPr>
            <w:r>
              <w:rPr>
                <w:rFonts w:asciiTheme="majorHAnsi" w:eastAsia="Times New Roman" w:hAnsiTheme="majorHAnsi" w:cs="Calibri"/>
                <w:sz w:val="20"/>
              </w:rPr>
              <w:t>Capability</w:t>
            </w:r>
          </w:p>
        </w:tc>
        <w:tc>
          <w:tcPr>
            <w:tcW w:w="3373" w:type="dxa"/>
            <w:noWrap/>
            <w:vAlign w:val="center"/>
            <w:hideMark/>
          </w:tcPr>
          <w:p w14:paraId="080B93F3" w14:textId="66B6B0EF" w:rsidR="003C500D" w:rsidRDefault="003C500D">
            <w:pPr>
              <w:spacing w:after="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Facility Name (click name for website)</w:t>
            </w:r>
          </w:p>
        </w:tc>
        <w:tc>
          <w:tcPr>
            <w:tcW w:w="1843" w:type="dxa"/>
            <w:noWrap/>
            <w:vAlign w:val="center"/>
            <w:hideMark/>
          </w:tcPr>
          <w:p w14:paraId="3F3784D4" w14:textId="77777777" w:rsidR="003C500D" w:rsidRDefault="003C500D">
            <w:pPr>
              <w:spacing w:after="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Contact(s)</w:t>
            </w:r>
          </w:p>
        </w:tc>
        <w:tc>
          <w:tcPr>
            <w:tcW w:w="3119" w:type="dxa"/>
            <w:noWrap/>
            <w:vAlign w:val="center"/>
            <w:hideMark/>
          </w:tcPr>
          <w:p w14:paraId="4FEF91A8" w14:textId="77777777" w:rsidR="003C500D" w:rsidRDefault="003C500D">
            <w:pPr>
              <w:spacing w:after="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Email</w:t>
            </w:r>
          </w:p>
        </w:tc>
      </w:tr>
      <w:tr w:rsidR="0030314C" w14:paraId="6C408900" w14:textId="77777777" w:rsidTr="00684D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DD3DA97" w14:textId="29103760" w:rsidR="003C500D" w:rsidRDefault="003C500D" w:rsidP="00BB11FE">
            <w:pPr>
              <w:keepNext/>
              <w:keepLines/>
              <w:spacing w:beforeLines="20" w:before="48" w:afterLines="20" w:after="48"/>
              <w:rPr>
                <w:rFonts w:asciiTheme="majorHAnsi" w:hAnsiTheme="majorHAnsi"/>
                <w:sz w:val="20"/>
              </w:rPr>
            </w:pPr>
            <w:r>
              <w:rPr>
                <w:rFonts w:asciiTheme="majorHAnsi" w:hAnsiTheme="majorHAnsi"/>
                <w:sz w:val="20"/>
              </w:rPr>
              <w:t>Biologics</w:t>
            </w:r>
            <w:r w:rsidR="004F003D">
              <w:rPr>
                <w:rFonts w:asciiTheme="majorHAnsi" w:hAnsiTheme="majorHAnsi"/>
                <w:sz w:val="20"/>
              </w:rPr>
              <w:t xml:space="preserve"> </w:t>
            </w: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3758F40" w14:textId="257A51F1" w:rsidR="003C500D" w:rsidRPr="0030314C" w:rsidRDefault="0046353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hyperlink r:id="rId12" w:history="1">
              <w:r w:rsidR="003C500D" w:rsidRPr="0030314C">
                <w:rPr>
                  <w:rStyle w:val="Hyperlink"/>
                  <w:rFonts w:asciiTheme="majorHAnsi" w:hAnsiTheme="majorHAnsi"/>
                  <w:b/>
                  <w:sz w:val="18"/>
                  <w:szCs w:val="18"/>
                </w:rPr>
                <w:t>National Biologics Facility – Qld Node (UQ)</w:t>
              </w:r>
            </w:hyperlink>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0054D29" w14:textId="77777777" w:rsidR="003C500D" w:rsidRDefault="003C500D">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Trent Munro</w:t>
            </w:r>
          </w:p>
          <w:p w14:paraId="266DFF9A" w14:textId="77777777" w:rsidR="003C500D" w:rsidRDefault="003C500D">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Martina Jones</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4F38B63" w14:textId="77777777" w:rsidR="003C500D" w:rsidRPr="0030314C" w:rsidRDefault="0046353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13" w:history="1">
              <w:r w:rsidR="003C500D" w:rsidRPr="0030314C">
                <w:rPr>
                  <w:rStyle w:val="Hyperlink"/>
                  <w:rFonts w:asciiTheme="majorHAnsi" w:eastAsia="Times New Roman" w:hAnsiTheme="majorHAnsi" w:cs="Calibri"/>
                  <w:sz w:val="18"/>
                  <w:szCs w:val="18"/>
                </w:rPr>
                <w:t>t.munro@uq.edu.au</w:t>
              </w:r>
            </w:hyperlink>
          </w:p>
          <w:p w14:paraId="6E374A00" w14:textId="77777777" w:rsidR="003C500D" w:rsidRPr="0030314C" w:rsidRDefault="0046353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14" w:history="1">
              <w:r w:rsidR="003C500D" w:rsidRPr="0030314C">
                <w:rPr>
                  <w:rStyle w:val="Hyperlink"/>
                  <w:rFonts w:asciiTheme="majorHAnsi" w:eastAsia="Times New Roman" w:hAnsiTheme="majorHAnsi" w:cs="Calibri"/>
                  <w:sz w:val="18"/>
                  <w:szCs w:val="18"/>
                </w:rPr>
                <w:t>martina.jones@uq.edu.au</w:t>
              </w:r>
            </w:hyperlink>
          </w:p>
        </w:tc>
      </w:tr>
      <w:tr w:rsidR="0030314C" w14:paraId="4B1A992E" w14:textId="77777777" w:rsidTr="00684D2F">
        <w:trPr>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02D4AF1A" w14:textId="77777777" w:rsidR="003C500D" w:rsidRDefault="003C500D">
            <w:pPr>
              <w:spacing w:after="0"/>
              <w:rPr>
                <w:rFonts w:asciiTheme="majorHAnsi" w:hAnsiTheme="majorHAnsi"/>
                <w:sz w:val="20"/>
              </w:rPr>
            </w:pP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44E33B7" w14:textId="417639E8" w:rsidR="003C500D" w:rsidRPr="0030314C"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hyperlink r:id="rId15" w:history="1">
              <w:r w:rsidR="003C500D" w:rsidRPr="0030314C">
                <w:rPr>
                  <w:rStyle w:val="Hyperlink"/>
                  <w:rFonts w:asciiTheme="majorHAnsi" w:hAnsiTheme="majorHAnsi"/>
                  <w:b/>
                  <w:sz w:val="18"/>
                  <w:szCs w:val="18"/>
                </w:rPr>
                <w:t>National Biologics Facility – Vic Node (CSIRO)</w:t>
              </w:r>
            </w:hyperlink>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C1371E6" w14:textId="77777777" w:rsidR="003C500D" w:rsidRDefault="003C500D">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Susie Nilsson</w:t>
            </w:r>
          </w:p>
          <w:p w14:paraId="3722C0F6" w14:textId="1C5035B3" w:rsidR="00A43A50" w:rsidRDefault="00A43A50">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Tim Adams</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DEC9ECF" w14:textId="77777777" w:rsidR="003C500D"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Style w:val="Hyperlink"/>
                <w:rFonts w:asciiTheme="majorHAnsi" w:eastAsia="Times New Roman" w:hAnsiTheme="majorHAnsi" w:cs="Calibri"/>
                <w:sz w:val="18"/>
                <w:szCs w:val="18"/>
              </w:rPr>
            </w:pPr>
            <w:hyperlink r:id="rId16" w:history="1">
              <w:r w:rsidR="003C500D" w:rsidRPr="0030314C">
                <w:rPr>
                  <w:rStyle w:val="Hyperlink"/>
                  <w:rFonts w:asciiTheme="majorHAnsi" w:eastAsia="Times New Roman" w:hAnsiTheme="majorHAnsi" w:cs="Calibri"/>
                  <w:sz w:val="18"/>
                  <w:szCs w:val="18"/>
                </w:rPr>
                <w:t>Susie.Nilsson@csiro.au</w:t>
              </w:r>
            </w:hyperlink>
          </w:p>
          <w:p w14:paraId="4B5160CD" w14:textId="3744BD89" w:rsidR="00F56321" w:rsidRPr="0030314C"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17" w:history="1">
              <w:r w:rsidR="00F56321" w:rsidRPr="00D90619">
                <w:rPr>
                  <w:rStyle w:val="Hyperlink"/>
                  <w:rFonts w:asciiTheme="majorHAnsi" w:eastAsia="Times New Roman" w:hAnsiTheme="majorHAnsi" w:cs="Calibri"/>
                  <w:sz w:val="18"/>
                  <w:szCs w:val="18"/>
                </w:rPr>
                <w:t>tim.adams@csiro.au</w:t>
              </w:r>
            </w:hyperlink>
          </w:p>
        </w:tc>
      </w:tr>
      <w:tr w:rsidR="0030314C" w14:paraId="76B389CF" w14:textId="77777777" w:rsidTr="00684D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56734B02" w14:textId="77777777" w:rsidR="003C500D" w:rsidRDefault="003C500D">
            <w:pPr>
              <w:spacing w:after="0"/>
              <w:rPr>
                <w:rFonts w:asciiTheme="majorHAnsi" w:hAnsiTheme="majorHAnsi"/>
                <w:sz w:val="20"/>
              </w:rPr>
            </w:pP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01168A4" w14:textId="33AA3943" w:rsidR="003C500D" w:rsidRPr="0030314C" w:rsidRDefault="0046353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hyperlink r:id="rId18" w:history="1">
              <w:r w:rsidR="003C500D" w:rsidRPr="0030314C">
                <w:rPr>
                  <w:rStyle w:val="Hyperlink"/>
                  <w:rFonts w:asciiTheme="majorHAnsi" w:hAnsiTheme="majorHAnsi"/>
                  <w:b/>
                  <w:sz w:val="18"/>
                  <w:szCs w:val="18"/>
                </w:rPr>
                <w:t>National Biologics Facility – NSW Node (UTS)</w:t>
              </w:r>
            </w:hyperlink>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6E8180B" w14:textId="77777777" w:rsidR="003C500D" w:rsidRDefault="003C500D">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Edwin Huang</w:t>
            </w:r>
          </w:p>
          <w:p w14:paraId="20EF4E3E" w14:textId="77777777" w:rsidR="003C500D" w:rsidRDefault="003C500D">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Andrew Groth</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79957C0" w14:textId="77777777" w:rsidR="003C500D" w:rsidRPr="0030314C" w:rsidRDefault="0046353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19" w:history="1">
              <w:r w:rsidR="003C500D" w:rsidRPr="0030314C">
                <w:rPr>
                  <w:rStyle w:val="Hyperlink"/>
                  <w:rFonts w:asciiTheme="majorHAnsi" w:eastAsia="Times New Roman" w:hAnsiTheme="majorHAnsi" w:cs="Calibri"/>
                  <w:sz w:val="18"/>
                  <w:szCs w:val="18"/>
                </w:rPr>
                <w:t>edwin.huang@uts.edu.au</w:t>
              </w:r>
            </w:hyperlink>
          </w:p>
          <w:p w14:paraId="70C80F34" w14:textId="77777777" w:rsidR="003C500D" w:rsidRPr="0030314C" w:rsidRDefault="0046353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20" w:history="1">
              <w:r w:rsidR="003C500D" w:rsidRPr="0030314C">
                <w:rPr>
                  <w:rStyle w:val="Hyperlink"/>
                  <w:rFonts w:asciiTheme="majorHAnsi" w:eastAsia="Times New Roman" w:hAnsiTheme="majorHAnsi" w:cs="Calibri"/>
                  <w:sz w:val="18"/>
                  <w:szCs w:val="18"/>
                </w:rPr>
                <w:t>andrew.groth@uts.edu.au</w:t>
              </w:r>
            </w:hyperlink>
          </w:p>
        </w:tc>
      </w:tr>
      <w:tr w:rsidR="0030314C" w14:paraId="4DC111AF" w14:textId="77777777" w:rsidTr="00684D2F">
        <w:trPr>
          <w:trHeight w:val="260"/>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0BAD304" w14:textId="3CF5288B" w:rsidR="003C500D" w:rsidRDefault="003C500D" w:rsidP="004F003D">
            <w:pPr>
              <w:keepNext/>
              <w:keepLines/>
              <w:spacing w:beforeLines="20" w:before="48" w:afterLines="20" w:after="48"/>
              <w:rPr>
                <w:rFonts w:asciiTheme="majorHAnsi" w:hAnsiTheme="majorHAnsi"/>
                <w:sz w:val="20"/>
              </w:rPr>
            </w:pPr>
            <w:r>
              <w:rPr>
                <w:rFonts w:asciiTheme="majorHAnsi" w:hAnsiTheme="majorHAnsi"/>
                <w:sz w:val="20"/>
              </w:rPr>
              <w:t>Cell &amp; Gene Therapies</w:t>
            </w: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A3E345D" w14:textId="6D7E424B" w:rsidR="003C500D" w:rsidRPr="0030314C"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hyperlink r:id="rId21" w:history="1">
              <w:r w:rsidR="003C500D" w:rsidRPr="0030314C">
                <w:rPr>
                  <w:rStyle w:val="Hyperlink"/>
                  <w:rFonts w:asciiTheme="majorHAnsi" w:hAnsiTheme="majorHAnsi"/>
                  <w:b/>
                  <w:sz w:val="18"/>
                  <w:szCs w:val="18"/>
                </w:rPr>
                <w:t>Cell &amp; Tissue Therapies WA (Royal Perth Hospital)</w:t>
              </w:r>
            </w:hyperlink>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6AD82DD" w14:textId="779725EA" w:rsidR="003C500D" w:rsidRDefault="003C500D" w:rsidP="0094022F">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Marian Sturm</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7FBEF448" w14:textId="7C967804" w:rsidR="003C500D" w:rsidRPr="0030314C" w:rsidRDefault="00463535" w:rsidP="0094022F">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22" w:history="1">
              <w:r w:rsidR="003C500D" w:rsidRPr="0030314C">
                <w:rPr>
                  <w:rStyle w:val="Hyperlink"/>
                  <w:rFonts w:asciiTheme="majorHAnsi" w:eastAsia="Times New Roman" w:hAnsiTheme="majorHAnsi" w:cs="Calibri"/>
                  <w:sz w:val="18"/>
                  <w:szCs w:val="18"/>
                </w:rPr>
                <w:t>marian.sturm@health.wa.gov.au</w:t>
              </w:r>
            </w:hyperlink>
          </w:p>
        </w:tc>
      </w:tr>
      <w:tr w:rsidR="0030314C" w14:paraId="2A94A7DA" w14:textId="77777777" w:rsidTr="00684D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02D0576C" w14:textId="77777777" w:rsidR="003C500D" w:rsidRDefault="003C500D" w:rsidP="004F003D">
            <w:pPr>
              <w:spacing w:after="0"/>
              <w:rPr>
                <w:rFonts w:asciiTheme="majorHAnsi" w:hAnsiTheme="majorHAnsi"/>
                <w:sz w:val="20"/>
              </w:rPr>
            </w:pP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5074616" w14:textId="7EBB3911" w:rsidR="003C500D" w:rsidRPr="0030314C" w:rsidRDefault="003C500D">
            <w:pPr>
              <w:spacing w:after="0" w:line="276" w:lineRule="auto"/>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b/>
                <w:sz w:val="18"/>
                <w:szCs w:val="18"/>
              </w:rPr>
            </w:pPr>
            <w:r w:rsidRPr="0030314C">
              <w:rPr>
                <w:rFonts w:asciiTheme="majorHAnsi" w:hAnsiTheme="majorHAnsi"/>
                <w:b/>
                <w:sz w:val="18"/>
                <w:szCs w:val="18"/>
              </w:rPr>
              <w:fldChar w:fldCharType="begin"/>
            </w:r>
            <w:r w:rsidRPr="0030314C">
              <w:rPr>
                <w:rFonts w:asciiTheme="majorHAnsi" w:hAnsiTheme="majorHAnsi"/>
                <w:b/>
                <w:sz w:val="18"/>
                <w:szCs w:val="18"/>
              </w:rPr>
              <w:instrText xml:space="preserve"> HYPERLINK "http://www.q-gencell.com/" </w:instrText>
            </w:r>
            <w:r w:rsidRPr="0030314C">
              <w:rPr>
                <w:rFonts w:asciiTheme="majorHAnsi" w:hAnsiTheme="majorHAnsi"/>
                <w:b/>
                <w:sz w:val="18"/>
                <w:szCs w:val="18"/>
              </w:rPr>
              <w:fldChar w:fldCharType="separate"/>
            </w:r>
            <w:r w:rsidRPr="0030314C">
              <w:rPr>
                <w:rStyle w:val="Hyperlink"/>
                <w:rFonts w:asciiTheme="majorHAnsi" w:hAnsiTheme="majorHAnsi"/>
                <w:b/>
                <w:sz w:val="18"/>
                <w:szCs w:val="18"/>
              </w:rPr>
              <w:t>Q-Gen Cell Therapeutics</w:t>
            </w:r>
          </w:p>
          <w:p w14:paraId="0DB66C7B" w14:textId="409808C3" w:rsidR="003C500D" w:rsidRPr="0030314C" w:rsidRDefault="003C500D">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30314C">
              <w:rPr>
                <w:rStyle w:val="Hyperlink"/>
                <w:rFonts w:asciiTheme="majorHAnsi" w:hAnsiTheme="majorHAnsi"/>
                <w:b/>
                <w:sz w:val="18"/>
                <w:szCs w:val="18"/>
              </w:rPr>
              <w:t>(QIMR Berghofer)</w:t>
            </w:r>
            <w:r w:rsidRPr="0030314C">
              <w:rPr>
                <w:rFonts w:asciiTheme="majorHAnsi" w:hAnsiTheme="majorHAnsi"/>
                <w:b/>
                <w:sz w:val="18"/>
                <w:szCs w:val="18"/>
              </w:rPr>
              <w:fldChar w:fldCharType="end"/>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A6C5E8A" w14:textId="77777777" w:rsidR="003C500D" w:rsidRDefault="003C500D">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Leon Scott</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A7392ED" w14:textId="77777777" w:rsidR="003C500D" w:rsidRPr="0030314C" w:rsidRDefault="0046353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23" w:history="1">
              <w:r w:rsidR="003C500D" w:rsidRPr="0030314C">
                <w:rPr>
                  <w:rStyle w:val="Hyperlink"/>
                  <w:rFonts w:asciiTheme="majorHAnsi" w:eastAsia="Times New Roman" w:hAnsiTheme="majorHAnsi" w:cs="Calibri"/>
                  <w:sz w:val="18"/>
                  <w:szCs w:val="18"/>
                </w:rPr>
                <w:t>Leon.Scott@qimrberghofer.edu.au</w:t>
              </w:r>
            </w:hyperlink>
          </w:p>
        </w:tc>
      </w:tr>
      <w:tr w:rsidR="0030314C" w14:paraId="2E533AB7" w14:textId="77777777" w:rsidTr="00684D2F">
        <w:trPr>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23F81044" w14:textId="77777777" w:rsidR="003C500D" w:rsidRDefault="003C500D" w:rsidP="004F003D">
            <w:pPr>
              <w:spacing w:after="0"/>
              <w:rPr>
                <w:rFonts w:asciiTheme="majorHAnsi" w:hAnsiTheme="majorHAnsi"/>
                <w:sz w:val="20"/>
              </w:rPr>
            </w:pP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E94D1C6" w14:textId="26605A3A" w:rsidR="003C500D" w:rsidRPr="0030314C"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hyperlink r:id="rId24" w:history="1">
              <w:r w:rsidR="003C500D" w:rsidRPr="0030314C">
                <w:rPr>
                  <w:rStyle w:val="Hyperlink"/>
                  <w:rFonts w:asciiTheme="majorHAnsi" w:hAnsiTheme="majorHAnsi"/>
                  <w:b/>
                  <w:sz w:val="18"/>
                  <w:szCs w:val="18"/>
                </w:rPr>
                <w:t>Sydney Cell &amp; Gene Therapies (Westmead Precinct)</w:t>
              </w:r>
            </w:hyperlink>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E40874D" w14:textId="77777777" w:rsidR="003C500D" w:rsidRDefault="003C500D">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Mark Ornatowski</w:t>
            </w:r>
          </w:p>
          <w:p w14:paraId="7C935DE0" w14:textId="77777777" w:rsidR="003C500D" w:rsidRDefault="003C500D">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Margot Latham</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3C855076" w14:textId="77777777" w:rsidR="003C500D" w:rsidRPr="0030314C"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25" w:history="1">
              <w:r w:rsidR="003C500D" w:rsidRPr="0030314C">
                <w:rPr>
                  <w:rStyle w:val="Hyperlink"/>
                  <w:rFonts w:asciiTheme="majorHAnsi" w:eastAsia="Times New Roman" w:hAnsiTheme="majorHAnsi" w:cs="Calibri"/>
                  <w:sz w:val="18"/>
                  <w:szCs w:val="18"/>
                </w:rPr>
                <w:t>mark.ornatowski@health.nsw.gov.au</w:t>
              </w:r>
            </w:hyperlink>
          </w:p>
          <w:p w14:paraId="1FB217D7" w14:textId="3E07C8C7" w:rsidR="003C500D" w:rsidRPr="0030314C"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26" w:history="1">
              <w:r w:rsidR="003C500D" w:rsidRPr="0030314C">
                <w:rPr>
                  <w:rStyle w:val="Hyperlink"/>
                  <w:rFonts w:asciiTheme="majorHAnsi" w:eastAsia="Times New Roman" w:hAnsiTheme="majorHAnsi" w:cs="Calibri"/>
                  <w:sz w:val="18"/>
                  <w:szCs w:val="18"/>
                </w:rPr>
                <w:t>margot.latham@health.nsw.gov.au</w:t>
              </w:r>
            </w:hyperlink>
          </w:p>
        </w:tc>
      </w:tr>
      <w:tr w:rsidR="0030314C" w14:paraId="2C1BFDB6" w14:textId="77777777" w:rsidTr="00684D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4A0037A7" w14:textId="77777777" w:rsidR="003C500D" w:rsidRDefault="003C500D" w:rsidP="004F003D">
            <w:pPr>
              <w:spacing w:after="0"/>
              <w:rPr>
                <w:rFonts w:asciiTheme="majorHAnsi" w:hAnsiTheme="majorHAnsi"/>
                <w:sz w:val="20"/>
              </w:rPr>
            </w:pP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563CBDA" w14:textId="3C70E0EC" w:rsidR="003C500D" w:rsidRPr="0030314C" w:rsidRDefault="0046353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hyperlink r:id="rId27" w:history="1">
              <w:r w:rsidR="003C500D" w:rsidRPr="0030314C">
                <w:rPr>
                  <w:rStyle w:val="Hyperlink"/>
                  <w:rFonts w:asciiTheme="majorHAnsi" w:hAnsiTheme="majorHAnsi"/>
                  <w:b/>
                  <w:sz w:val="18"/>
                  <w:szCs w:val="18"/>
                </w:rPr>
                <w:t>Cell &amp; Molecular Therapies (Royal Prince Alfred Hospital)</w:t>
              </w:r>
            </w:hyperlink>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609016ED" w14:textId="77777777" w:rsidR="003C500D" w:rsidRDefault="003C500D">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 xml:space="preserve">Zlatibor Velickovic </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2CC6CCC" w14:textId="77777777" w:rsidR="003C500D" w:rsidRPr="0030314C" w:rsidRDefault="0046353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28" w:history="1">
              <w:r w:rsidR="003C500D" w:rsidRPr="0030314C">
                <w:rPr>
                  <w:rStyle w:val="Hyperlink"/>
                  <w:rFonts w:asciiTheme="majorHAnsi" w:eastAsia="Times New Roman" w:hAnsiTheme="majorHAnsi" w:cs="Calibri"/>
                  <w:sz w:val="18"/>
                  <w:szCs w:val="18"/>
                </w:rPr>
                <w:t>Zlatibor.Velickovic@health.nsw.gov.au</w:t>
              </w:r>
            </w:hyperlink>
          </w:p>
        </w:tc>
      </w:tr>
      <w:tr w:rsidR="0030314C" w14:paraId="1148C009" w14:textId="77777777" w:rsidTr="00684D2F">
        <w:trPr>
          <w:trHeight w:val="260"/>
        </w:trPr>
        <w:tc>
          <w:tcPr>
            <w:cnfStyle w:val="001000000000" w:firstRow="0" w:lastRow="0" w:firstColumn="1" w:lastColumn="0" w:oddVBand="0" w:evenVBand="0" w:oddHBand="0" w:evenHBand="0" w:firstRowFirstColumn="0" w:firstRowLastColumn="0" w:lastRowFirstColumn="0" w:lastRowLastColumn="0"/>
            <w:tcW w:w="1413" w:type="dxa"/>
            <w:vMerge/>
            <w:vAlign w:val="center"/>
            <w:hideMark/>
          </w:tcPr>
          <w:p w14:paraId="48E104E9" w14:textId="77777777" w:rsidR="003C500D" w:rsidRDefault="003C500D" w:rsidP="004F003D">
            <w:pPr>
              <w:spacing w:after="0"/>
              <w:rPr>
                <w:rFonts w:asciiTheme="majorHAnsi" w:hAnsiTheme="majorHAnsi"/>
                <w:sz w:val="20"/>
              </w:rPr>
            </w:pP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9BEE1E3" w14:textId="2A3D78B3" w:rsidR="003C500D"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b/>
                <w:sz w:val="18"/>
                <w:szCs w:val="18"/>
              </w:rPr>
            </w:pPr>
            <w:hyperlink r:id="rId29" w:history="1">
              <w:r w:rsidR="003C500D" w:rsidRPr="0030314C">
                <w:rPr>
                  <w:rStyle w:val="Hyperlink"/>
                  <w:rFonts w:asciiTheme="majorHAnsi" w:hAnsiTheme="majorHAnsi"/>
                  <w:b/>
                  <w:sz w:val="18"/>
                  <w:szCs w:val="18"/>
                </w:rPr>
                <w:t>Centre of Excellence in Cellular Immunotherapy (Peter Mac)</w:t>
              </w:r>
            </w:hyperlink>
          </w:p>
          <w:p w14:paraId="134C3CED" w14:textId="77777777" w:rsidR="00015F89" w:rsidRDefault="00015F89">
            <w:pPr>
              <w:spacing w:after="0" w:line="276" w:lineRule="auto"/>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b/>
                <w:sz w:val="18"/>
                <w:szCs w:val="18"/>
              </w:rPr>
            </w:pPr>
          </w:p>
          <w:p w14:paraId="7B8637A8" w14:textId="590CC3C2" w:rsidR="00AE41E8" w:rsidRPr="0030314C" w:rsidRDefault="00AE41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554CA7E" w14:textId="77777777" w:rsidR="003C500D" w:rsidRDefault="003C500D">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Nathan Smith</w:t>
            </w:r>
          </w:p>
          <w:p w14:paraId="67122024" w14:textId="65551F10" w:rsidR="006E5E02" w:rsidRDefault="00015F89">
            <w:pPr>
              <w:spacing w:after="0" w:line="276" w:lineRule="auto"/>
              <w:ind w:left="-106" w:firstLine="106"/>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00015F89">
              <w:rPr>
                <w:rFonts w:asciiTheme="majorHAnsi" w:eastAsia="Times New Roman" w:hAnsiTheme="majorHAnsi" w:cs="Calibri"/>
                <w:sz w:val="20"/>
              </w:rPr>
              <w:t>Jennifer Hollands</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55BD7F03" w14:textId="77777777" w:rsidR="003C500D"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s="Segoe UI"/>
                <w:sz w:val="18"/>
                <w:szCs w:val="18"/>
                <w:shd w:val="clear" w:color="auto" w:fill="FFFFFF"/>
              </w:rPr>
            </w:pPr>
            <w:hyperlink r:id="rId30" w:history="1">
              <w:r w:rsidR="003C500D" w:rsidRPr="0030314C">
                <w:rPr>
                  <w:rStyle w:val="Hyperlink"/>
                  <w:rFonts w:asciiTheme="majorHAnsi" w:hAnsiTheme="majorHAnsi" w:cs="Segoe UI"/>
                  <w:sz w:val="18"/>
                  <w:szCs w:val="18"/>
                  <w:shd w:val="clear" w:color="auto" w:fill="FFFFFF"/>
                </w:rPr>
                <w:t>nathansmith@celltherapies.com.au</w:t>
              </w:r>
            </w:hyperlink>
          </w:p>
          <w:p w14:paraId="55DCA3A9" w14:textId="74730488" w:rsidR="00015F89" w:rsidRPr="0030314C" w:rsidRDefault="00463535" w:rsidP="00015F89">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Segoe UI"/>
                <w:color w:val="323130"/>
                <w:sz w:val="18"/>
                <w:szCs w:val="18"/>
                <w:shd w:val="clear" w:color="auto" w:fill="FFFFFF"/>
              </w:rPr>
            </w:pPr>
            <w:hyperlink r:id="rId31" w:history="1">
              <w:r w:rsidR="00015F89" w:rsidRPr="00867CE1">
                <w:rPr>
                  <w:rStyle w:val="Hyperlink"/>
                  <w:rFonts w:asciiTheme="majorHAnsi" w:hAnsiTheme="majorHAnsi" w:cs="Segoe UI"/>
                  <w:sz w:val="18"/>
                  <w:szCs w:val="18"/>
                  <w:shd w:val="clear" w:color="auto" w:fill="FFFFFF"/>
                </w:rPr>
                <w:t>jenniferhollands@celltherapies.com.au</w:t>
              </w:r>
            </w:hyperlink>
          </w:p>
        </w:tc>
      </w:tr>
      <w:tr w:rsidR="009E6480" w14:paraId="4AEE8CF4" w14:textId="77777777" w:rsidTr="00F415E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val="restart"/>
            <w:tcBorders>
              <w:top w:val="single" w:sz="4" w:space="0" w:color="95B3D7" w:themeColor="accent1" w:themeTint="99"/>
              <w:left w:val="single" w:sz="4" w:space="0" w:color="95B3D7" w:themeColor="accent1" w:themeTint="99"/>
              <w:right w:val="single" w:sz="4" w:space="0" w:color="95B3D7" w:themeColor="accent1" w:themeTint="99"/>
            </w:tcBorders>
            <w:vAlign w:val="center"/>
            <w:hideMark/>
          </w:tcPr>
          <w:p w14:paraId="2EFBE207" w14:textId="27E0E1EB" w:rsidR="009E6480" w:rsidRDefault="009E6480" w:rsidP="004F003D">
            <w:pPr>
              <w:spacing w:after="0" w:line="276" w:lineRule="auto"/>
              <w:rPr>
                <w:rFonts w:asciiTheme="majorHAnsi" w:hAnsiTheme="majorHAnsi"/>
                <w:b w:val="0"/>
                <w:sz w:val="20"/>
              </w:rPr>
            </w:pPr>
            <w:r>
              <w:rPr>
                <w:rFonts w:asciiTheme="majorHAnsi" w:hAnsiTheme="majorHAnsi"/>
                <w:sz w:val="20"/>
              </w:rPr>
              <w:lastRenderedPageBreak/>
              <w:t>Small Molecule</w:t>
            </w: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101AE855" w14:textId="55EA22C1" w:rsidR="009E6480" w:rsidRPr="0030314C" w:rsidRDefault="00463535" w:rsidP="1505D6EF">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32" w:history="1">
              <w:r w:rsidR="009E6480" w:rsidRPr="0030314C">
                <w:rPr>
                  <w:rStyle w:val="Hyperlink"/>
                  <w:rFonts w:asciiTheme="majorHAnsi" w:hAnsiTheme="majorHAnsi"/>
                  <w:b/>
                  <w:bCs/>
                  <w:sz w:val="18"/>
                  <w:szCs w:val="18"/>
                </w:rPr>
                <w:t>Australian Translational Medicinal Chemistry Facility (ATMCF; Monash)</w:t>
              </w:r>
            </w:hyperlink>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734FCAC9" w14:textId="77777777" w:rsidR="009E6480" w:rsidRDefault="009E6480" w:rsidP="210B7E8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sidRPr="210B7E85">
              <w:rPr>
                <w:rFonts w:asciiTheme="majorHAnsi" w:eastAsia="Times New Roman" w:hAnsiTheme="majorHAnsi" w:cs="Calibri"/>
                <w:sz w:val="20"/>
              </w:rPr>
              <w:t>Jonathan Baell</w:t>
            </w:r>
          </w:p>
          <w:p w14:paraId="57236CEA" w14:textId="4088499C" w:rsidR="009E6480" w:rsidRDefault="009E6480" w:rsidP="210B7E85">
            <w:pPr>
              <w:spacing w:after="0" w:line="276" w:lineRule="auto"/>
              <w:ind w:left="-106" w:firstLine="106"/>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Leanne Hawkey</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4118FF42" w14:textId="77777777" w:rsidR="009E6480" w:rsidRPr="0030314C" w:rsidRDefault="00463535" w:rsidP="210B7E8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33">
              <w:r w:rsidR="009E6480" w:rsidRPr="0030314C">
                <w:rPr>
                  <w:rStyle w:val="Hyperlink"/>
                  <w:rFonts w:asciiTheme="majorHAnsi" w:eastAsia="Times New Roman" w:hAnsiTheme="majorHAnsi" w:cs="Calibri"/>
                  <w:sz w:val="18"/>
                  <w:szCs w:val="18"/>
                </w:rPr>
                <w:t>jonathan.baell@monash.edu</w:t>
              </w:r>
            </w:hyperlink>
          </w:p>
          <w:p w14:paraId="24AAC03D" w14:textId="3E87DD9A" w:rsidR="009E6480" w:rsidRPr="0030314C" w:rsidRDefault="00463535" w:rsidP="210B7E8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34" w:history="1">
              <w:r w:rsidR="009E6480" w:rsidRPr="0030314C">
                <w:rPr>
                  <w:rStyle w:val="Hyperlink"/>
                  <w:rFonts w:asciiTheme="majorHAnsi" w:eastAsia="Times New Roman" w:hAnsiTheme="majorHAnsi" w:cs="Calibri"/>
                  <w:sz w:val="18"/>
                  <w:szCs w:val="18"/>
                </w:rPr>
                <w:t>leanne.hawkey@monash.edu</w:t>
              </w:r>
            </w:hyperlink>
          </w:p>
        </w:tc>
      </w:tr>
      <w:tr w:rsidR="009E6480" w14:paraId="07A80365" w14:textId="77777777" w:rsidTr="00F415E5">
        <w:trPr>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vAlign w:val="center"/>
            <w:hideMark/>
          </w:tcPr>
          <w:p w14:paraId="3CA24FEC" w14:textId="77777777" w:rsidR="009E6480" w:rsidRDefault="009E6480">
            <w:pPr>
              <w:spacing w:after="0"/>
              <w:rPr>
                <w:rFonts w:asciiTheme="majorHAnsi" w:hAnsiTheme="majorHAnsi"/>
                <w:sz w:val="20"/>
              </w:rPr>
            </w:pP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39E0DE10" w14:textId="42B252C1" w:rsidR="009E6480" w:rsidRPr="0030314C"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hyperlink r:id="rId35" w:history="1">
              <w:r w:rsidR="009E6480" w:rsidRPr="0030314C">
                <w:rPr>
                  <w:rStyle w:val="Hyperlink"/>
                  <w:rFonts w:asciiTheme="majorHAnsi" w:hAnsiTheme="majorHAnsi"/>
                  <w:b/>
                  <w:sz w:val="18"/>
                  <w:szCs w:val="18"/>
                </w:rPr>
                <w:t>Centre for Drug Candidate Optimisation (Monash)</w:t>
              </w:r>
            </w:hyperlink>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2B3D0AD" w14:textId="77777777" w:rsidR="009E6480" w:rsidRDefault="009E6480" w:rsidP="004D20D2">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210B7E85">
              <w:rPr>
                <w:rFonts w:asciiTheme="majorHAnsi" w:eastAsia="Times New Roman" w:hAnsiTheme="majorHAnsi" w:cs="Calibri"/>
                <w:sz w:val="20"/>
              </w:rPr>
              <w:t>Susan Charman</w:t>
            </w:r>
          </w:p>
          <w:p w14:paraId="47592D8D" w14:textId="77777777" w:rsidR="009E6480" w:rsidRDefault="009E6480" w:rsidP="004D20D2">
            <w:pPr>
              <w:spacing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210B7E85">
              <w:rPr>
                <w:rFonts w:asciiTheme="majorHAnsi" w:eastAsia="Times New Roman" w:hAnsiTheme="majorHAnsi" w:cs="Calibri"/>
                <w:sz w:val="20"/>
              </w:rPr>
              <w:t>Andrew Powell</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4335569D" w14:textId="77777777" w:rsidR="009E6480" w:rsidRPr="0030314C" w:rsidRDefault="00463535">
            <w:pPr>
              <w:spacing w:after="0" w:line="276" w:lineRule="auto"/>
              <w:cnfStyle w:val="000000000000" w:firstRow="0" w:lastRow="0" w:firstColumn="0" w:lastColumn="0" w:oddVBand="0" w:evenVBand="0" w:oddHBand="0" w:evenHBand="0" w:firstRowFirstColumn="0" w:firstRowLastColumn="0" w:lastRowFirstColumn="0" w:lastRowLastColumn="0"/>
              <w:rPr>
                <w:sz w:val="18"/>
                <w:szCs w:val="18"/>
              </w:rPr>
            </w:pPr>
            <w:hyperlink r:id="rId36" w:history="1">
              <w:r w:rsidR="009E6480" w:rsidRPr="0030314C">
                <w:rPr>
                  <w:rStyle w:val="Hyperlink"/>
                  <w:rFonts w:asciiTheme="majorHAnsi" w:eastAsia="Times New Roman" w:hAnsiTheme="majorHAnsi" w:cs="Calibri"/>
                  <w:sz w:val="18"/>
                  <w:szCs w:val="18"/>
                </w:rPr>
                <w:t>susan.charman@monash.edu</w:t>
              </w:r>
            </w:hyperlink>
          </w:p>
          <w:p w14:paraId="70488E16" w14:textId="27902B4B" w:rsidR="009E6480" w:rsidRPr="0030314C"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37" w:history="1">
              <w:r w:rsidR="009E6480" w:rsidRPr="00D90619">
                <w:rPr>
                  <w:rStyle w:val="Hyperlink"/>
                  <w:rFonts w:asciiTheme="majorHAnsi" w:eastAsia="Times New Roman" w:hAnsiTheme="majorHAnsi" w:cs="Calibri"/>
                  <w:sz w:val="18"/>
                  <w:szCs w:val="18"/>
                </w:rPr>
                <w:t>andrew.powell@monash.edu</w:t>
              </w:r>
            </w:hyperlink>
          </w:p>
        </w:tc>
      </w:tr>
      <w:tr w:rsidR="009E6480" w14:paraId="3206FEEF" w14:textId="77777777" w:rsidTr="00F415E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vAlign w:val="center"/>
            <w:hideMark/>
          </w:tcPr>
          <w:p w14:paraId="5396E84C" w14:textId="77777777" w:rsidR="009E6480" w:rsidRDefault="009E6480">
            <w:pPr>
              <w:spacing w:after="0"/>
              <w:rPr>
                <w:rFonts w:asciiTheme="majorHAnsi" w:hAnsiTheme="majorHAnsi"/>
                <w:sz w:val="20"/>
              </w:rPr>
            </w:pP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F5A84B3" w14:textId="3C137F28" w:rsidR="009E6480" w:rsidRPr="0030314C" w:rsidRDefault="0046353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38" w:history="1">
              <w:r w:rsidR="009E6480" w:rsidRPr="0030314C">
                <w:rPr>
                  <w:rStyle w:val="Hyperlink"/>
                  <w:rFonts w:asciiTheme="majorHAnsi" w:hAnsiTheme="majorHAnsi"/>
                  <w:b/>
                  <w:sz w:val="18"/>
                  <w:szCs w:val="18"/>
                </w:rPr>
                <w:t>Centre for Integrated Preclinical Drug Development (UQ)</w:t>
              </w:r>
            </w:hyperlink>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EA19FBE" w14:textId="77777777" w:rsidR="009E6480" w:rsidRDefault="009E6480">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Maree Smith</w:t>
            </w:r>
          </w:p>
          <w:p w14:paraId="097A1844" w14:textId="77777777" w:rsidR="009E6480" w:rsidRDefault="009E6480">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Andy Kuo</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C018CD2" w14:textId="77777777" w:rsidR="009E6480" w:rsidRPr="0030314C" w:rsidRDefault="0046353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39" w:history="1">
              <w:r w:rsidR="009E6480" w:rsidRPr="0030314C">
                <w:rPr>
                  <w:rStyle w:val="Hyperlink"/>
                  <w:rFonts w:asciiTheme="majorHAnsi" w:eastAsia="Times New Roman" w:hAnsiTheme="majorHAnsi" w:cs="Calibri"/>
                  <w:sz w:val="18"/>
                  <w:szCs w:val="18"/>
                </w:rPr>
                <w:t>maree.smith@uq.edu.au</w:t>
              </w:r>
            </w:hyperlink>
          </w:p>
          <w:p w14:paraId="52841CE5" w14:textId="77777777" w:rsidR="009E6480" w:rsidRPr="0030314C" w:rsidRDefault="00463535">
            <w:pPr>
              <w:spacing w:after="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18"/>
                <w:szCs w:val="18"/>
              </w:rPr>
            </w:pPr>
            <w:hyperlink r:id="rId40" w:history="1">
              <w:r w:rsidR="009E6480" w:rsidRPr="0030314C">
                <w:rPr>
                  <w:rStyle w:val="Hyperlink"/>
                  <w:rFonts w:asciiTheme="majorHAnsi" w:eastAsia="Times New Roman" w:hAnsiTheme="majorHAnsi" w:cs="Calibri"/>
                  <w:sz w:val="18"/>
                  <w:szCs w:val="18"/>
                </w:rPr>
                <w:t>a.kuo1@uq.edu.au</w:t>
              </w:r>
            </w:hyperlink>
          </w:p>
        </w:tc>
      </w:tr>
      <w:tr w:rsidR="009E6480" w14:paraId="2D8A8E78" w14:textId="77777777" w:rsidTr="00F415E5">
        <w:trPr>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vAlign w:val="center"/>
            <w:hideMark/>
          </w:tcPr>
          <w:p w14:paraId="516EDB9C" w14:textId="77777777" w:rsidR="009E6480" w:rsidRDefault="009E6480">
            <w:pPr>
              <w:spacing w:after="0"/>
              <w:rPr>
                <w:rFonts w:asciiTheme="majorHAnsi" w:hAnsiTheme="majorHAnsi"/>
                <w:sz w:val="20"/>
              </w:rPr>
            </w:pP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24EBBFC6" w14:textId="6312ACC8" w:rsidR="009E6480" w:rsidRPr="0030314C"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41" w:history="1">
              <w:r w:rsidR="009E6480" w:rsidRPr="0030314C">
                <w:rPr>
                  <w:rStyle w:val="Hyperlink"/>
                  <w:rFonts w:asciiTheme="majorHAnsi" w:hAnsiTheme="majorHAnsi"/>
                  <w:b/>
                  <w:sz w:val="18"/>
                  <w:szCs w:val="18"/>
                </w:rPr>
                <w:t>Compounds Australia (Griffith)</w:t>
              </w:r>
            </w:hyperlink>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0328C914" w14:textId="77777777" w:rsidR="009E6480" w:rsidRDefault="009E6480" w:rsidP="210B7E85">
            <w:pPr>
              <w:spacing w:after="0" w:line="276" w:lineRule="auto"/>
              <w:ind w:left="-106" w:firstLine="106"/>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210B7E85">
              <w:rPr>
                <w:rFonts w:asciiTheme="majorHAnsi" w:eastAsia="Times New Roman" w:hAnsiTheme="majorHAnsi" w:cs="Calibri"/>
                <w:sz w:val="20"/>
              </w:rPr>
              <w:t>Moana Simpson</w:t>
            </w:r>
          </w:p>
          <w:p w14:paraId="4EB6B5F1" w14:textId="77777777" w:rsidR="009E6480" w:rsidRDefault="009E6480" w:rsidP="210B7E85">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20"/>
              </w:rPr>
            </w:pPr>
            <w:r w:rsidRPr="210B7E85">
              <w:rPr>
                <w:rFonts w:asciiTheme="majorHAnsi" w:eastAsia="Times New Roman" w:hAnsiTheme="majorHAnsi" w:cs="Calibri"/>
                <w:sz w:val="20"/>
              </w:rPr>
              <w:t>Wilma James</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hideMark/>
          </w:tcPr>
          <w:p w14:paraId="526EC8CD" w14:textId="77777777" w:rsidR="009E6480" w:rsidRPr="0030314C"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42" w:history="1">
              <w:r w:rsidR="009E6480" w:rsidRPr="0030314C">
                <w:rPr>
                  <w:rStyle w:val="Hyperlink"/>
                  <w:rFonts w:asciiTheme="majorHAnsi" w:eastAsia="Times New Roman" w:hAnsiTheme="majorHAnsi" w:cs="Calibri"/>
                  <w:sz w:val="18"/>
                  <w:szCs w:val="18"/>
                </w:rPr>
                <w:t>m.simpson@griffith.edu.au</w:t>
              </w:r>
            </w:hyperlink>
          </w:p>
          <w:p w14:paraId="7F1A40AD" w14:textId="77777777" w:rsidR="009E6480" w:rsidRPr="0030314C" w:rsidRDefault="00463535">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sz w:val="18"/>
                <w:szCs w:val="18"/>
              </w:rPr>
            </w:pPr>
            <w:hyperlink r:id="rId43" w:history="1">
              <w:r w:rsidR="009E6480" w:rsidRPr="0030314C">
                <w:rPr>
                  <w:rStyle w:val="Hyperlink"/>
                  <w:rFonts w:asciiTheme="majorHAnsi" w:eastAsia="Times New Roman" w:hAnsiTheme="majorHAnsi" w:cs="Calibri"/>
                  <w:sz w:val="18"/>
                  <w:szCs w:val="18"/>
                </w:rPr>
                <w:t>wilma.james@griffith.edu.au</w:t>
              </w:r>
            </w:hyperlink>
          </w:p>
        </w:tc>
      </w:tr>
      <w:tr w:rsidR="009E6480" w14:paraId="66B1B13D" w14:textId="77777777" w:rsidTr="00F415E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13" w:type="dxa"/>
            <w:vMerge/>
            <w:tcBorders>
              <w:left w:val="single" w:sz="4" w:space="0" w:color="95B3D7" w:themeColor="accent1" w:themeTint="99"/>
              <w:right w:val="single" w:sz="4" w:space="0" w:color="95B3D7" w:themeColor="accent1" w:themeTint="99"/>
            </w:tcBorders>
            <w:vAlign w:val="center"/>
          </w:tcPr>
          <w:p w14:paraId="7160D82E" w14:textId="77777777" w:rsidR="009E6480" w:rsidRDefault="009E6480">
            <w:pPr>
              <w:spacing w:after="0"/>
              <w:rPr>
                <w:rFonts w:asciiTheme="majorHAnsi" w:hAnsiTheme="majorHAnsi"/>
                <w:sz w:val="20"/>
              </w:rPr>
            </w:pPr>
          </w:p>
        </w:tc>
        <w:tc>
          <w:tcPr>
            <w:tcW w:w="33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2B525ECA" w14:textId="5A189FF7" w:rsidR="009E6480" w:rsidRDefault="00463535">
            <w:pPr>
              <w:spacing w:after="0" w:line="276" w:lineRule="auto"/>
              <w:cnfStyle w:val="000000100000" w:firstRow="0" w:lastRow="0" w:firstColumn="0" w:lastColumn="0" w:oddVBand="0" w:evenVBand="0" w:oddHBand="1" w:evenHBand="0" w:firstRowFirstColumn="0" w:firstRowLastColumn="0" w:lastRowFirstColumn="0" w:lastRowLastColumn="0"/>
            </w:pPr>
            <w:hyperlink r:id="rId44" w:history="1">
              <w:r w:rsidR="00CD7BD0" w:rsidRPr="00CD7BD0">
                <w:rPr>
                  <w:rStyle w:val="Hyperlink"/>
                  <w:rFonts w:asciiTheme="majorHAnsi" w:hAnsiTheme="majorHAnsi"/>
                  <w:b/>
                  <w:sz w:val="18"/>
                  <w:szCs w:val="18"/>
                </w:rPr>
                <w:t>TetraQ</w:t>
              </w:r>
            </w:hyperlink>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120B2B73" w14:textId="3DDEACD7" w:rsidR="009E6480" w:rsidRPr="210B7E85" w:rsidRDefault="00CD7BD0" w:rsidP="210B7E85">
            <w:pPr>
              <w:spacing w:after="0" w:line="276" w:lineRule="auto"/>
              <w:ind w:left="-106" w:firstLine="106"/>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sz w:val="20"/>
              </w:rPr>
            </w:pPr>
            <w:r>
              <w:rPr>
                <w:rFonts w:asciiTheme="majorHAnsi" w:eastAsia="Times New Roman" w:hAnsiTheme="majorHAnsi" w:cs="Calibri"/>
                <w:sz w:val="20"/>
              </w:rPr>
              <w:t>Peter Tapley</w:t>
            </w:r>
          </w:p>
        </w:tc>
        <w:tc>
          <w:tcPr>
            <w:tcW w:w="311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vAlign w:val="center"/>
          </w:tcPr>
          <w:p w14:paraId="518E99DE" w14:textId="695E43DD" w:rsidR="009E6480" w:rsidRDefault="00463535">
            <w:pPr>
              <w:spacing w:after="0" w:line="276" w:lineRule="auto"/>
              <w:cnfStyle w:val="000000100000" w:firstRow="0" w:lastRow="0" w:firstColumn="0" w:lastColumn="0" w:oddVBand="0" w:evenVBand="0" w:oddHBand="1" w:evenHBand="0" w:firstRowFirstColumn="0" w:firstRowLastColumn="0" w:lastRowFirstColumn="0" w:lastRowLastColumn="0"/>
            </w:pPr>
            <w:hyperlink r:id="rId45" w:history="1">
              <w:r w:rsidR="00CD7BD0" w:rsidRPr="00CD7BD0">
                <w:rPr>
                  <w:rStyle w:val="Hyperlink"/>
                  <w:rFonts w:asciiTheme="majorHAnsi" w:eastAsia="Times New Roman" w:hAnsiTheme="majorHAnsi" w:cs="Calibri"/>
                  <w:sz w:val="18"/>
                  <w:szCs w:val="18"/>
                </w:rPr>
                <w:t>P.tapley@tetraq.com.au</w:t>
              </w:r>
            </w:hyperlink>
          </w:p>
        </w:tc>
      </w:tr>
    </w:tbl>
    <w:p w14:paraId="724788C6" w14:textId="2796EE9E" w:rsidR="00DF5B35" w:rsidRDefault="00DF5B35" w:rsidP="004F003D">
      <w:pPr>
        <w:spacing w:after="0"/>
        <w:ind w:left="720"/>
        <w:rPr>
          <w:rFonts w:eastAsia="Calibri" w:cs="Calibri"/>
          <w:szCs w:val="22"/>
          <w:lang w:val="en-GB"/>
        </w:rPr>
      </w:pPr>
    </w:p>
    <w:p w14:paraId="644CE782" w14:textId="067C490F" w:rsidR="00FE6A59" w:rsidRDefault="00FE6A59" w:rsidP="00FE6A59">
      <w:pPr>
        <w:rPr>
          <w:lang w:val="en-GB"/>
        </w:rPr>
      </w:pPr>
      <w:r>
        <w:rPr>
          <w:lang w:val="en-GB"/>
        </w:rPr>
        <w:t xml:space="preserve">For </w:t>
      </w:r>
      <w:r w:rsidR="000B60F8">
        <w:rPr>
          <w:lang w:val="en-GB"/>
        </w:rPr>
        <w:t xml:space="preserve">projects seeking to access High Throughput Screening (HTS) facilities, please refer to </w:t>
      </w:r>
      <w:r w:rsidR="0010630D">
        <w:rPr>
          <w:lang w:val="en-GB"/>
        </w:rPr>
        <w:t xml:space="preserve">the </w:t>
      </w:r>
      <w:r w:rsidR="0010630D" w:rsidRPr="0010630D">
        <w:rPr>
          <w:b/>
          <w:bCs/>
        </w:rPr>
        <w:t>Pipeline Accelerator 2020-21 (Round 2 - Screening)</w:t>
      </w:r>
      <w:r w:rsidR="0010630D">
        <w:t xml:space="preserve"> guidelines on the Pipeline Accelerator webpage.</w:t>
      </w:r>
    </w:p>
    <w:p w14:paraId="22B30C96" w14:textId="77777777" w:rsidR="0050606E" w:rsidRDefault="0050606E" w:rsidP="00D32826">
      <w:pPr>
        <w:pStyle w:val="Heading2"/>
        <w:rPr>
          <w:lang w:val="en-GB"/>
        </w:rPr>
      </w:pPr>
      <w:r>
        <w:rPr>
          <w:lang w:val="en-GB"/>
        </w:rPr>
        <w:t>Eligibility of Projects</w:t>
      </w:r>
    </w:p>
    <w:p w14:paraId="08DBCC7B" w14:textId="48E0930A" w:rsidR="210B7E85" w:rsidRDefault="210B7E85" w:rsidP="210B7E85">
      <w:pPr>
        <w:rPr>
          <w:rFonts w:eastAsia="Calibri" w:cs="Calibri"/>
          <w:szCs w:val="22"/>
          <w:lang w:val="en-GB"/>
        </w:rPr>
      </w:pPr>
      <w:r w:rsidRPr="210B7E85">
        <w:rPr>
          <w:rFonts w:eastAsia="Calibri" w:cs="Calibri"/>
          <w:szCs w:val="22"/>
          <w:lang w:val="en-GB"/>
        </w:rPr>
        <w:t>To achieve support, the Project application must:</w:t>
      </w:r>
    </w:p>
    <w:p w14:paraId="69536E85" w14:textId="40C3C5F3" w:rsidR="00895432" w:rsidRPr="00895432" w:rsidRDefault="00895432" w:rsidP="007634FD">
      <w:pPr>
        <w:pStyle w:val="ListParagraph"/>
        <w:numPr>
          <w:ilvl w:val="0"/>
          <w:numId w:val="1"/>
        </w:numPr>
        <w:rPr>
          <w:rFonts w:asciiTheme="minorHAnsi" w:eastAsiaTheme="minorEastAsia" w:hAnsiTheme="minorHAnsi" w:cstheme="minorBidi"/>
          <w:szCs w:val="22"/>
          <w:lang w:val="en-GB"/>
        </w:rPr>
      </w:pPr>
      <w:r>
        <w:rPr>
          <w:rFonts w:eastAsia="Calibri" w:cs="Calibri"/>
          <w:szCs w:val="22"/>
          <w:lang w:val="en-GB"/>
        </w:rPr>
        <w:t>Indicate which core facility will be accessed.</w:t>
      </w:r>
    </w:p>
    <w:p w14:paraId="65C7A390" w14:textId="30B9F75D" w:rsidR="210B7E85" w:rsidRDefault="210B7E85" w:rsidP="007634FD">
      <w:pPr>
        <w:pStyle w:val="ListParagraph"/>
        <w:numPr>
          <w:ilvl w:val="0"/>
          <w:numId w:val="1"/>
        </w:numPr>
        <w:rPr>
          <w:rFonts w:asciiTheme="minorHAnsi" w:eastAsiaTheme="minorEastAsia" w:hAnsiTheme="minorHAnsi" w:cstheme="minorBidi"/>
          <w:szCs w:val="22"/>
          <w:lang w:val="en-GB"/>
        </w:rPr>
      </w:pPr>
      <w:r w:rsidRPr="210B7E85">
        <w:rPr>
          <w:rFonts w:eastAsia="Calibri" w:cs="Calibri"/>
          <w:szCs w:val="22"/>
          <w:lang w:val="en-GB"/>
        </w:rPr>
        <w:t>Briefly articulate the current state of research relating to the chosen therapeutic modality in terms of biochemical characterisation, mechanism of action, target validation</w:t>
      </w:r>
      <w:r w:rsidRPr="210B7E85">
        <w:rPr>
          <w:rFonts w:eastAsia="Calibri" w:cs="Calibri"/>
          <w:i/>
          <w:iCs/>
          <w:szCs w:val="22"/>
          <w:lang w:val="en-GB"/>
        </w:rPr>
        <w:t>,</w:t>
      </w:r>
      <w:r w:rsidRPr="210B7E85">
        <w:rPr>
          <w:rFonts w:eastAsia="Calibri" w:cs="Calibri"/>
          <w:szCs w:val="22"/>
          <w:lang w:val="en-GB"/>
        </w:rPr>
        <w:t xml:space="preserve"> etc.</w:t>
      </w:r>
    </w:p>
    <w:p w14:paraId="722E5866" w14:textId="77777777" w:rsidR="008F4AB1" w:rsidRPr="0067537F" w:rsidRDefault="008F4AB1" w:rsidP="008F4AB1">
      <w:pPr>
        <w:pStyle w:val="ListParagraph"/>
        <w:numPr>
          <w:ilvl w:val="1"/>
          <w:numId w:val="19"/>
        </w:numPr>
        <w:spacing w:after="240"/>
        <w:ind w:left="720"/>
        <w:rPr>
          <w:rFonts w:asciiTheme="minorHAnsi" w:eastAsiaTheme="minorEastAsia" w:hAnsiTheme="minorHAnsi" w:cstheme="minorBidi"/>
          <w:szCs w:val="22"/>
          <w:lang w:val="en-GB"/>
        </w:rPr>
      </w:pPr>
      <w:r w:rsidRPr="0067537F">
        <w:rPr>
          <w:rFonts w:eastAsia="Calibri" w:cs="Calibri"/>
          <w:szCs w:val="22"/>
          <w:lang w:val="en-GB"/>
        </w:rPr>
        <w:t>Articulate the potential</w:t>
      </w:r>
      <w:r>
        <w:rPr>
          <w:rFonts w:eastAsia="Calibri" w:cs="Calibri"/>
          <w:szCs w:val="22"/>
          <w:lang w:val="en-GB"/>
        </w:rPr>
        <w:t xml:space="preserve"> short- and long-term outcomes including (for example):</w:t>
      </w:r>
    </w:p>
    <w:p w14:paraId="770245F9" w14:textId="77777777" w:rsidR="008F4AB1" w:rsidRPr="0067537F" w:rsidRDefault="008F4AB1" w:rsidP="008F4AB1">
      <w:pPr>
        <w:pStyle w:val="ListParagraph"/>
        <w:numPr>
          <w:ilvl w:val="2"/>
          <w:numId w:val="20"/>
        </w:numPr>
        <w:spacing w:after="240"/>
        <w:ind w:left="1530"/>
        <w:rPr>
          <w:rFonts w:asciiTheme="minorHAnsi" w:eastAsiaTheme="minorEastAsia" w:hAnsiTheme="minorHAnsi" w:cstheme="minorBidi"/>
          <w:szCs w:val="22"/>
          <w:lang w:val="en-GB"/>
        </w:rPr>
      </w:pPr>
      <w:r w:rsidRPr="0067537F">
        <w:rPr>
          <w:rFonts w:eastAsia="Calibri" w:cs="Calibri"/>
          <w:szCs w:val="22"/>
          <w:lang w:val="en-GB"/>
        </w:rPr>
        <w:t>a new therapeutic product or product/service combination for an existing or new market</w:t>
      </w:r>
    </w:p>
    <w:p w14:paraId="2D436AA7" w14:textId="77777777" w:rsidR="008F4AB1" w:rsidRPr="0067537F" w:rsidRDefault="008F4AB1" w:rsidP="008F4AB1">
      <w:pPr>
        <w:pStyle w:val="ListParagraph"/>
        <w:numPr>
          <w:ilvl w:val="2"/>
          <w:numId w:val="20"/>
        </w:numPr>
        <w:spacing w:after="240"/>
        <w:ind w:left="1530"/>
        <w:rPr>
          <w:rFonts w:asciiTheme="minorHAnsi" w:eastAsiaTheme="minorEastAsia" w:hAnsiTheme="minorHAnsi" w:cstheme="minorBidi"/>
          <w:szCs w:val="22"/>
          <w:lang w:val="en-GB"/>
        </w:rPr>
      </w:pPr>
      <w:r w:rsidRPr="0067537F">
        <w:rPr>
          <w:rFonts w:eastAsia="Calibri" w:cs="Calibri"/>
          <w:szCs w:val="22"/>
          <w:lang w:val="en-GB"/>
        </w:rPr>
        <w:t xml:space="preserve">an increase in health service cost effectiveness or </w:t>
      </w:r>
      <w:r>
        <w:rPr>
          <w:rFonts w:eastAsia="Calibri" w:cs="Calibri"/>
          <w:szCs w:val="22"/>
          <w:lang w:val="en-GB"/>
        </w:rPr>
        <w:t xml:space="preserve">a </w:t>
      </w:r>
      <w:r w:rsidRPr="0067537F">
        <w:rPr>
          <w:rFonts w:eastAsia="Calibri" w:cs="Calibri"/>
          <w:szCs w:val="22"/>
          <w:lang w:val="en-GB"/>
        </w:rPr>
        <w:t>global health outcome through a new practice or product</w:t>
      </w:r>
    </w:p>
    <w:p w14:paraId="0E5F52A0" w14:textId="77777777" w:rsidR="008F4AB1" w:rsidRPr="0067537F" w:rsidRDefault="008F4AB1" w:rsidP="008F4AB1">
      <w:pPr>
        <w:pStyle w:val="ListParagraph"/>
        <w:numPr>
          <w:ilvl w:val="2"/>
          <w:numId w:val="20"/>
        </w:numPr>
        <w:spacing w:after="240"/>
        <w:ind w:left="1530"/>
        <w:rPr>
          <w:rFonts w:asciiTheme="minorHAnsi" w:eastAsiaTheme="minorEastAsia" w:hAnsiTheme="minorHAnsi" w:cstheme="minorBidi"/>
          <w:szCs w:val="22"/>
          <w:lang w:val="en-GB"/>
        </w:rPr>
      </w:pPr>
      <w:r>
        <w:rPr>
          <w:rFonts w:eastAsia="Calibri" w:cs="Calibri"/>
          <w:szCs w:val="22"/>
          <w:lang w:val="en-GB"/>
        </w:rPr>
        <w:t xml:space="preserve">a </w:t>
      </w:r>
      <w:r w:rsidRPr="210B7E85">
        <w:rPr>
          <w:rFonts w:eastAsia="Calibri" w:cs="Calibri"/>
          <w:szCs w:val="22"/>
          <w:lang w:val="en-GB"/>
        </w:rPr>
        <w:t xml:space="preserve">new patent or patentable IP, </w:t>
      </w:r>
      <w:r>
        <w:rPr>
          <w:rFonts w:eastAsia="Calibri" w:cs="Calibri"/>
          <w:szCs w:val="22"/>
          <w:lang w:val="en-GB"/>
        </w:rPr>
        <w:t>and/</w:t>
      </w:r>
      <w:r w:rsidRPr="210B7E85">
        <w:rPr>
          <w:rFonts w:eastAsia="Calibri" w:cs="Calibri"/>
          <w:szCs w:val="22"/>
          <w:lang w:val="en-GB"/>
        </w:rPr>
        <w:t>or</w:t>
      </w:r>
      <w:r>
        <w:rPr>
          <w:rFonts w:eastAsia="Calibri" w:cs="Calibri"/>
          <w:szCs w:val="22"/>
          <w:lang w:val="en-GB"/>
        </w:rPr>
        <w:t xml:space="preserve"> license</w:t>
      </w:r>
    </w:p>
    <w:p w14:paraId="0735AEF8" w14:textId="780ABF83" w:rsidR="210B7E85" w:rsidRDefault="210B7E85" w:rsidP="007634FD">
      <w:pPr>
        <w:pStyle w:val="ListParagraph"/>
        <w:numPr>
          <w:ilvl w:val="0"/>
          <w:numId w:val="1"/>
        </w:numPr>
        <w:rPr>
          <w:rFonts w:asciiTheme="minorHAnsi" w:eastAsiaTheme="minorEastAsia" w:hAnsiTheme="minorHAnsi" w:cstheme="minorBidi"/>
          <w:szCs w:val="22"/>
          <w:lang w:val="en-GB"/>
        </w:rPr>
      </w:pPr>
      <w:r w:rsidRPr="210B7E85">
        <w:rPr>
          <w:rFonts w:eastAsia="Calibri" w:cs="Calibri"/>
          <w:szCs w:val="22"/>
          <w:lang w:val="en-GB"/>
        </w:rPr>
        <w:t>Be regarded as scientifically meritorious by an assessment committee</w:t>
      </w:r>
      <w:r w:rsidR="008E31CF">
        <w:rPr>
          <w:rFonts w:eastAsia="Calibri" w:cs="Calibri"/>
          <w:szCs w:val="22"/>
          <w:lang w:val="en-GB"/>
        </w:rPr>
        <w:t xml:space="preserve"> with external members</w:t>
      </w:r>
      <w:r w:rsidRPr="210B7E85">
        <w:rPr>
          <w:rFonts w:eastAsia="Calibri" w:cs="Calibri"/>
          <w:szCs w:val="22"/>
          <w:lang w:val="en-GB"/>
        </w:rPr>
        <w:t xml:space="preserve"> appointed by TIA.</w:t>
      </w:r>
    </w:p>
    <w:p w14:paraId="654E24FA" w14:textId="7B8C653A" w:rsidR="210B7E85" w:rsidRDefault="210B7E85" w:rsidP="007634FD">
      <w:pPr>
        <w:pStyle w:val="ListParagraph"/>
        <w:numPr>
          <w:ilvl w:val="0"/>
          <w:numId w:val="1"/>
        </w:numPr>
        <w:rPr>
          <w:rFonts w:asciiTheme="minorHAnsi" w:eastAsiaTheme="minorEastAsia" w:hAnsiTheme="minorHAnsi" w:cstheme="minorBidi"/>
          <w:szCs w:val="22"/>
          <w:lang w:val="en-GB"/>
        </w:rPr>
      </w:pPr>
      <w:r w:rsidRPr="210B7E85">
        <w:rPr>
          <w:rFonts w:eastAsia="Calibri" w:cs="Calibri"/>
          <w:szCs w:val="22"/>
          <w:lang w:val="en-GB"/>
        </w:rPr>
        <w:t>Demonstrate a plan for the next steps in therapeutic development as they relate to the project, in the context of the project’s potential to lead to new therapeutic product or product/service for an existing or new market (including via out-licencing).</w:t>
      </w:r>
    </w:p>
    <w:p w14:paraId="7F7F38C9" w14:textId="06B27D9D" w:rsidR="210B7E85" w:rsidRDefault="210B7E85" w:rsidP="007634FD">
      <w:pPr>
        <w:pStyle w:val="ListParagraph"/>
        <w:numPr>
          <w:ilvl w:val="0"/>
          <w:numId w:val="1"/>
        </w:numPr>
        <w:rPr>
          <w:rFonts w:asciiTheme="minorHAnsi" w:eastAsiaTheme="minorEastAsia" w:hAnsiTheme="minorHAnsi" w:cstheme="minorBidi"/>
          <w:szCs w:val="22"/>
          <w:lang w:val="en-GB"/>
        </w:rPr>
      </w:pPr>
      <w:r w:rsidRPr="210B7E85">
        <w:rPr>
          <w:rFonts w:eastAsia="Calibri" w:cs="Calibri"/>
          <w:szCs w:val="22"/>
          <w:lang w:val="en-GB"/>
        </w:rPr>
        <w:t>Have obtained appropriate service quotes from the selected Provider</w:t>
      </w:r>
    </w:p>
    <w:p w14:paraId="07988829" w14:textId="6D54770F" w:rsidR="210B7E85" w:rsidRDefault="210B7E85" w:rsidP="007634FD">
      <w:pPr>
        <w:pStyle w:val="ListParagraph"/>
        <w:numPr>
          <w:ilvl w:val="0"/>
          <w:numId w:val="1"/>
        </w:numPr>
        <w:rPr>
          <w:rFonts w:asciiTheme="minorHAnsi" w:eastAsiaTheme="minorEastAsia" w:hAnsiTheme="minorHAnsi" w:cstheme="minorBidi"/>
          <w:szCs w:val="22"/>
          <w:lang w:val="en-GB"/>
        </w:rPr>
      </w:pPr>
      <w:r w:rsidRPr="210B7E85">
        <w:rPr>
          <w:rFonts w:eastAsia="Calibri" w:cs="Calibri"/>
          <w:szCs w:val="22"/>
          <w:lang w:val="en-GB"/>
        </w:rPr>
        <w:t>Define an indicative desired timescale for the project</w:t>
      </w:r>
    </w:p>
    <w:p w14:paraId="4F617C3B" w14:textId="33405BA0" w:rsidR="210B7E85" w:rsidRDefault="210B7E85" w:rsidP="007634FD">
      <w:pPr>
        <w:pStyle w:val="ListParagraph"/>
        <w:numPr>
          <w:ilvl w:val="1"/>
          <w:numId w:val="1"/>
        </w:numPr>
        <w:rPr>
          <w:rFonts w:asciiTheme="minorHAnsi" w:eastAsiaTheme="minorEastAsia" w:hAnsiTheme="minorHAnsi" w:cstheme="minorBidi"/>
          <w:szCs w:val="22"/>
          <w:lang w:val="en-GB"/>
        </w:rPr>
      </w:pPr>
      <w:r w:rsidRPr="210B7E85">
        <w:rPr>
          <w:rFonts w:eastAsia="Calibri" w:cs="Calibri"/>
          <w:szCs w:val="22"/>
          <w:lang w:val="en-GB"/>
        </w:rPr>
        <w:t xml:space="preserve">The timescale should align with the award and would </w:t>
      </w:r>
      <w:r w:rsidRPr="00C95432">
        <w:rPr>
          <w:rFonts w:eastAsia="Calibri" w:cs="Calibri"/>
          <w:szCs w:val="22"/>
          <w:lang w:val="en-GB"/>
        </w:rPr>
        <w:t>ordinarily</w:t>
      </w:r>
      <w:r w:rsidRPr="210B7E85">
        <w:rPr>
          <w:rFonts w:eastAsia="Calibri" w:cs="Calibri"/>
          <w:szCs w:val="22"/>
          <w:lang w:val="en-GB"/>
        </w:rPr>
        <w:t xml:space="preserve"> not exceed 12-18 months from commencement. Note: this timescale applies to the supported activities only, and</w:t>
      </w:r>
      <w:r w:rsidRPr="00C95432">
        <w:rPr>
          <w:rFonts w:eastAsia="Calibri" w:cs="Calibri"/>
          <w:szCs w:val="22"/>
          <w:lang w:val="en-GB"/>
        </w:rPr>
        <w:t xml:space="preserve"> </w:t>
      </w:r>
      <w:r w:rsidRPr="00C95432">
        <w:rPr>
          <w:rFonts w:eastAsia="Calibri" w:cs="Calibri"/>
          <w:b/>
          <w:bCs/>
          <w:szCs w:val="22"/>
          <w:lang w:val="en-GB"/>
        </w:rPr>
        <w:t>not</w:t>
      </w:r>
      <w:r w:rsidRPr="210B7E85">
        <w:rPr>
          <w:rFonts w:eastAsia="Calibri" w:cs="Calibri"/>
          <w:szCs w:val="22"/>
          <w:lang w:val="en-GB"/>
        </w:rPr>
        <w:t xml:space="preserve"> the full completion of the project or development of a potential therapeutic.</w:t>
      </w:r>
    </w:p>
    <w:p w14:paraId="2D07DD4B" w14:textId="77777777" w:rsidR="008E31CF" w:rsidRPr="004B6EDE" w:rsidRDefault="008E31CF" w:rsidP="008E31CF">
      <w:pPr>
        <w:pStyle w:val="ListParagraph"/>
        <w:numPr>
          <w:ilvl w:val="0"/>
          <w:numId w:val="1"/>
        </w:numPr>
        <w:rPr>
          <w:rFonts w:asciiTheme="minorHAnsi" w:eastAsiaTheme="minorEastAsia" w:hAnsiTheme="minorHAnsi" w:cstheme="minorBidi"/>
          <w:szCs w:val="22"/>
          <w:lang w:val="en-GB"/>
        </w:rPr>
      </w:pPr>
      <w:r w:rsidRPr="210B7E85">
        <w:rPr>
          <w:rFonts w:eastAsia="Calibri" w:cs="Calibri"/>
          <w:szCs w:val="22"/>
          <w:lang w:val="en-GB"/>
        </w:rPr>
        <w:t>Define an endpoint for the supported Project (as noted above, not necessarily for the entire development project).</w:t>
      </w:r>
    </w:p>
    <w:p w14:paraId="531CDFF3" w14:textId="2C8036ED" w:rsidR="000B139E" w:rsidRPr="000B139E" w:rsidRDefault="000B139E" w:rsidP="007634FD">
      <w:pPr>
        <w:pStyle w:val="ListParagraph"/>
        <w:numPr>
          <w:ilvl w:val="0"/>
          <w:numId w:val="1"/>
        </w:numPr>
        <w:rPr>
          <w:rFonts w:asciiTheme="minorHAnsi" w:eastAsiaTheme="minorEastAsia" w:hAnsiTheme="minorHAnsi" w:cstheme="minorBidi"/>
          <w:szCs w:val="22"/>
          <w:lang w:val="en-GB"/>
        </w:rPr>
      </w:pPr>
      <w:r w:rsidRPr="000B4B80">
        <w:rPr>
          <w:rFonts w:eastAsia="Calibri" w:cs="Calibri"/>
          <w:b/>
          <w:bCs/>
          <w:color w:val="FF0000"/>
          <w:szCs w:val="22"/>
          <w:lang w:val="en-GB"/>
        </w:rPr>
        <w:t>NEW</w:t>
      </w:r>
      <w:r>
        <w:rPr>
          <w:rFonts w:eastAsia="Calibri" w:cs="Calibri"/>
          <w:szCs w:val="22"/>
          <w:lang w:val="en-GB"/>
        </w:rPr>
        <w:t xml:space="preserve">: Provide </w:t>
      </w:r>
      <w:r w:rsidR="009C21DB">
        <w:rPr>
          <w:rFonts w:eastAsia="Calibri" w:cs="Calibri"/>
          <w:szCs w:val="22"/>
          <w:lang w:val="en-GB"/>
        </w:rPr>
        <w:t>some level of assurance</w:t>
      </w:r>
      <w:r w:rsidR="009F0B77">
        <w:rPr>
          <w:rFonts w:eastAsia="Calibri" w:cs="Calibri"/>
          <w:szCs w:val="22"/>
          <w:lang w:val="en-GB"/>
        </w:rPr>
        <w:t xml:space="preserve"> </w:t>
      </w:r>
      <w:r w:rsidR="009F0B77" w:rsidRPr="009F0B77">
        <w:rPr>
          <w:rFonts w:eastAsia="Calibri" w:cs="Calibri"/>
          <w:b/>
          <w:bCs/>
          <w:szCs w:val="22"/>
          <w:lang w:val="en-GB"/>
        </w:rPr>
        <w:t xml:space="preserve">in the </w:t>
      </w:r>
      <w:r w:rsidR="00D45D79">
        <w:rPr>
          <w:rFonts w:eastAsia="Calibri" w:cs="Calibri"/>
          <w:b/>
          <w:bCs/>
          <w:szCs w:val="22"/>
          <w:lang w:val="en-GB"/>
        </w:rPr>
        <w:t>indication of facility support</w:t>
      </w:r>
      <w:r w:rsidR="00D45D79" w:rsidRPr="00D45D79">
        <w:rPr>
          <w:rFonts w:eastAsia="Calibri" w:cs="Calibri"/>
          <w:szCs w:val="22"/>
          <w:lang w:val="en-GB"/>
        </w:rPr>
        <w:t xml:space="preserve"> (see application form)</w:t>
      </w:r>
      <w:r w:rsidRPr="00D45D79">
        <w:rPr>
          <w:rFonts w:eastAsia="Calibri" w:cs="Calibri"/>
          <w:szCs w:val="22"/>
          <w:lang w:val="en-GB"/>
        </w:rPr>
        <w:t xml:space="preserve"> </w:t>
      </w:r>
      <w:r>
        <w:rPr>
          <w:rFonts w:eastAsia="Calibri" w:cs="Calibri"/>
          <w:szCs w:val="22"/>
          <w:lang w:val="en-GB"/>
        </w:rPr>
        <w:t xml:space="preserve">that the project </w:t>
      </w:r>
      <w:r w:rsidR="00D45D79">
        <w:rPr>
          <w:rFonts w:eastAsia="Calibri" w:cs="Calibri"/>
          <w:szCs w:val="22"/>
          <w:lang w:val="en-GB"/>
        </w:rPr>
        <w:t xml:space="preserve">can </w:t>
      </w:r>
      <w:r>
        <w:rPr>
          <w:rFonts w:eastAsia="Calibri" w:cs="Calibri"/>
          <w:szCs w:val="22"/>
          <w:lang w:val="en-GB"/>
        </w:rPr>
        <w:t xml:space="preserve">commence </w:t>
      </w:r>
      <w:r w:rsidRPr="000B139E">
        <w:rPr>
          <w:rFonts w:eastAsia="Calibri" w:cs="Calibri"/>
          <w:b/>
          <w:bCs/>
          <w:szCs w:val="22"/>
          <w:lang w:val="en-GB"/>
        </w:rPr>
        <w:t>within 6 months</w:t>
      </w:r>
      <w:r>
        <w:rPr>
          <w:rFonts w:eastAsia="Calibri" w:cs="Calibri"/>
          <w:szCs w:val="22"/>
          <w:lang w:val="en-GB"/>
        </w:rPr>
        <w:t xml:space="preserve"> of award.</w:t>
      </w:r>
    </w:p>
    <w:p w14:paraId="5EC2672E" w14:textId="77777777" w:rsidR="008E31CF" w:rsidRPr="004C07AA" w:rsidRDefault="008E31CF" w:rsidP="008E31CF">
      <w:pPr>
        <w:pStyle w:val="ListParagraph"/>
        <w:numPr>
          <w:ilvl w:val="0"/>
          <w:numId w:val="1"/>
        </w:numPr>
        <w:rPr>
          <w:lang w:val="en-GB"/>
        </w:rPr>
      </w:pPr>
      <w:r w:rsidRPr="000B4B80">
        <w:rPr>
          <w:b/>
          <w:bCs/>
          <w:color w:val="FF0000"/>
          <w:lang w:val="en-GB"/>
        </w:rPr>
        <w:t>NEW</w:t>
      </w:r>
      <w:r w:rsidRPr="004C07AA">
        <w:rPr>
          <w:b/>
          <w:bCs/>
          <w:lang w:val="en-GB"/>
        </w:rPr>
        <w:t>:</w:t>
      </w:r>
      <w:r>
        <w:rPr>
          <w:lang w:val="en-GB"/>
        </w:rPr>
        <w:t xml:space="preserve"> Applicants seeking to access facilities within their own academic units or host entities (that is, “Internal” projects) will be required to briefly articulate why voucher funding is necessary to access an internal facility</w:t>
      </w:r>
      <w:r w:rsidRPr="001B496E">
        <w:rPr>
          <w:lang w:val="en-GB"/>
        </w:rPr>
        <w:t>.</w:t>
      </w:r>
    </w:p>
    <w:p w14:paraId="7D23166A" w14:textId="4F54AA98" w:rsidR="004B6EDE" w:rsidRPr="00FA477E" w:rsidRDefault="004B6EDE" w:rsidP="007634FD">
      <w:pPr>
        <w:pStyle w:val="ListParagraph"/>
        <w:numPr>
          <w:ilvl w:val="0"/>
          <w:numId w:val="1"/>
        </w:numPr>
        <w:rPr>
          <w:rFonts w:asciiTheme="minorHAnsi" w:eastAsiaTheme="minorEastAsia" w:hAnsiTheme="minorHAnsi" w:cstheme="minorBidi"/>
          <w:szCs w:val="22"/>
          <w:lang w:val="en-GB"/>
        </w:rPr>
      </w:pPr>
      <w:r w:rsidRPr="00FA477E">
        <w:rPr>
          <w:rFonts w:eastAsia="Calibri" w:cs="Calibri"/>
          <w:szCs w:val="22"/>
          <w:lang w:val="en-GB"/>
        </w:rPr>
        <w:t>Submit all the required documents – Application form, quotes from Providers,</w:t>
      </w:r>
      <w:r w:rsidR="00751124" w:rsidRPr="00FA477E">
        <w:rPr>
          <w:rFonts w:eastAsia="Calibri" w:cs="Calibri"/>
          <w:szCs w:val="22"/>
          <w:lang w:val="en-GB"/>
        </w:rPr>
        <w:t xml:space="preserve"> letter/</w:t>
      </w:r>
      <w:proofErr w:type="gramStart"/>
      <w:r w:rsidR="00751124" w:rsidRPr="00FA477E">
        <w:rPr>
          <w:rFonts w:eastAsia="Calibri" w:cs="Calibri"/>
          <w:szCs w:val="22"/>
          <w:lang w:val="en-GB"/>
        </w:rPr>
        <w:t>email</w:t>
      </w:r>
      <w:proofErr w:type="gramEnd"/>
      <w:r w:rsidR="00751124" w:rsidRPr="00FA477E">
        <w:rPr>
          <w:rFonts w:eastAsia="Calibri" w:cs="Calibri"/>
          <w:szCs w:val="22"/>
          <w:lang w:val="en-GB"/>
        </w:rPr>
        <w:t xml:space="preserve"> or support from Providers. Incomplete applications will </w:t>
      </w:r>
      <w:r w:rsidR="00125B9C" w:rsidRPr="00FA477E">
        <w:rPr>
          <w:rFonts w:eastAsia="Calibri" w:cs="Calibri"/>
          <w:szCs w:val="22"/>
          <w:lang w:val="en-GB"/>
        </w:rPr>
        <w:t xml:space="preserve">be </w:t>
      </w:r>
      <w:r w:rsidR="00AA23C8" w:rsidRPr="00FA477E">
        <w:rPr>
          <w:rFonts w:eastAsia="Calibri" w:cs="Calibri"/>
          <w:szCs w:val="22"/>
          <w:lang w:val="en-GB"/>
        </w:rPr>
        <w:t xml:space="preserve">automatically </w:t>
      </w:r>
      <w:r w:rsidR="00751124" w:rsidRPr="00FA477E">
        <w:rPr>
          <w:rFonts w:eastAsia="Calibri" w:cs="Calibri"/>
          <w:szCs w:val="22"/>
          <w:lang w:val="en-GB"/>
        </w:rPr>
        <w:t xml:space="preserve">rejected. </w:t>
      </w:r>
      <w:r w:rsidRPr="00FA477E">
        <w:rPr>
          <w:rFonts w:eastAsia="Calibri" w:cs="Calibri"/>
          <w:szCs w:val="22"/>
          <w:lang w:val="en-GB"/>
        </w:rPr>
        <w:t xml:space="preserve"> </w:t>
      </w:r>
    </w:p>
    <w:p w14:paraId="2B871A12" w14:textId="0610FD99" w:rsidR="00073304" w:rsidRDefault="00073304" w:rsidP="00D32826">
      <w:pPr>
        <w:pStyle w:val="Heading2"/>
        <w:rPr>
          <w:lang w:val="en-GB"/>
        </w:rPr>
      </w:pPr>
      <w:r>
        <w:rPr>
          <w:lang w:val="en-GB"/>
        </w:rPr>
        <w:t xml:space="preserve">Funding </w:t>
      </w:r>
      <w:r w:rsidR="00690FCF">
        <w:rPr>
          <w:lang w:val="en-GB"/>
        </w:rPr>
        <w:t>level</w:t>
      </w:r>
    </w:p>
    <w:p w14:paraId="3C616C0B" w14:textId="77777777" w:rsidR="00FC0106" w:rsidRPr="00FA477E" w:rsidRDefault="00193A92" w:rsidP="00193A92">
      <w:pPr>
        <w:rPr>
          <w:lang w:val="en-GB"/>
        </w:rPr>
      </w:pPr>
      <w:r>
        <w:rPr>
          <w:lang w:val="en-GB"/>
        </w:rPr>
        <w:t xml:space="preserve">Two </w:t>
      </w:r>
      <w:r w:rsidRPr="00FA477E">
        <w:rPr>
          <w:lang w:val="en-GB"/>
        </w:rPr>
        <w:t xml:space="preserve">levels of funding are offered: </w:t>
      </w:r>
    </w:p>
    <w:p w14:paraId="3D73BCA1" w14:textId="3235F9BF" w:rsidR="00FC0106" w:rsidRPr="00FA477E" w:rsidRDefault="00FC0106" w:rsidP="007634FD">
      <w:pPr>
        <w:pStyle w:val="ListParagraph"/>
        <w:numPr>
          <w:ilvl w:val="0"/>
          <w:numId w:val="16"/>
        </w:numPr>
        <w:rPr>
          <w:lang w:val="en-GB"/>
        </w:rPr>
      </w:pPr>
      <w:r w:rsidRPr="00FA477E">
        <w:rPr>
          <w:lang w:val="en-GB"/>
        </w:rPr>
        <w:lastRenderedPageBreak/>
        <w:t xml:space="preserve">$20,000 </w:t>
      </w:r>
      <w:r w:rsidR="00117A81" w:rsidRPr="00FA477E">
        <w:rPr>
          <w:lang w:val="en-GB"/>
        </w:rPr>
        <w:t>ex GST</w:t>
      </w:r>
      <w:r w:rsidR="004C0BB4" w:rsidRPr="00FA477E">
        <w:rPr>
          <w:lang w:val="en-GB"/>
        </w:rPr>
        <w:t xml:space="preserve"> </w:t>
      </w:r>
      <w:r w:rsidR="004C0BB4" w:rsidRPr="00FA477E">
        <w:rPr>
          <w:b/>
          <w:bCs/>
          <w:u w:val="single"/>
          <w:lang w:val="en-GB"/>
        </w:rPr>
        <w:t>O</w:t>
      </w:r>
      <w:r w:rsidR="00762DE9" w:rsidRPr="00FA477E">
        <w:rPr>
          <w:b/>
          <w:bCs/>
          <w:u w:val="single"/>
          <w:lang w:val="en-GB"/>
        </w:rPr>
        <w:t>R</w:t>
      </w:r>
    </w:p>
    <w:p w14:paraId="039EB89A" w14:textId="228AFEE5" w:rsidR="00FC0106" w:rsidRPr="00FA477E" w:rsidRDefault="00193A92" w:rsidP="007634FD">
      <w:pPr>
        <w:pStyle w:val="ListParagraph"/>
        <w:numPr>
          <w:ilvl w:val="0"/>
          <w:numId w:val="16"/>
        </w:numPr>
        <w:rPr>
          <w:lang w:val="en-GB"/>
        </w:rPr>
      </w:pPr>
      <w:r w:rsidRPr="00FA477E">
        <w:rPr>
          <w:lang w:val="en-GB"/>
        </w:rPr>
        <w:t>$50,000</w:t>
      </w:r>
      <w:r w:rsidR="00117A81" w:rsidRPr="00FA477E">
        <w:rPr>
          <w:lang w:val="en-GB"/>
        </w:rPr>
        <w:t xml:space="preserve"> ex GST</w:t>
      </w:r>
    </w:p>
    <w:p w14:paraId="034C362D" w14:textId="1024212F" w:rsidR="00085FE5" w:rsidRDefault="210B7E85" w:rsidP="00193A92">
      <w:pPr>
        <w:rPr>
          <w:lang w:val="en-GB"/>
        </w:rPr>
      </w:pPr>
      <w:r w:rsidRPr="210B7E85">
        <w:rPr>
          <w:lang w:val="en-GB"/>
        </w:rPr>
        <w:t xml:space="preserve">Applications should specify the level of funding </w:t>
      </w:r>
      <w:r w:rsidR="00205985">
        <w:rPr>
          <w:lang w:val="en-GB"/>
        </w:rPr>
        <w:t>applied</w:t>
      </w:r>
      <w:r w:rsidR="00205985" w:rsidRPr="210B7E85">
        <w:rPr>
          <w:lang w:val="en-GB"/>
        </w:rPr>
        <w:t xml:space="preserve"> </w:t>
      </w:r>
      <w:r w:rsidRPr="210B7E85">
        <w:rPr>
          <w:lang w:val="en-GB"/>
        </w:rPr>
        <w:t xml:space="preserve">for. Applicants will </w:t>
      </w:r>
      <w:r w:rsidRPr="210B7E85">
        <w:rPr>
          <w:b/>
          <w:bCs/>
          <w:lang w:val="en-GB"/>
        </w:rPr>
        <w:t>not</w:t>
      </w:r>
      <w:r w:rsidRPr="210B7E85">
        <w:rPr>
          <w:lang w:val="en-GB"/>
        </w:rPr>
        <w:t xml:space="preserve"> be offered a </w:t>
      </w:r>
      <w:r w:rsidRPr="210B7E85">
        <w:rPr>
          <w:b/>
          <w:bCs/>
          <w:lang w:val="en-GB"/>
        </w:rPr>
        <w:t>different</w:t>
      </w:r>
      <w:r w:rsidRPr="210B7E85">
        <w:rPr>
          <w:lang w:val="en-GB"/>
        </w:rPr>
        <w:t xml:space="preserve"> level of funding than was applied for.</w:t>
      </w:r>
    </w:p>
    <w:p w14:paraId="557F55F0" w14:textId="77777777" w:rsidR="00337B16" w:rsidRDefault="00337B16" w:rsidP="00337B16">
      <w:pPr>
        <w:rPr>
          <w:b/>
          <w:bCs/>
          <w:lang w:val="en-GB"/>
        </w:rPr>
      </w:pPr>
      <w:r>
        <w:rPr>
          <w:b/>
          <w:bCs/>
          <w:lang w:val="en-GB"/>
        </w:rPr>
        <w:t xml:space="preserve">PLEASE </w:t>
      </w:r>
      <w:r w:rsidRPr="00DE5CFA">
        <w:rPr>
          <w:b/>
          <w:bCs/>
          <w:lang w:val="en-GB"/>
        </w:rPr>
        <w:t>NOTE</w:t>
      </w:r>
      <w:r>
        <w:rPr>
          <w:b/>
          <w:bCs/>
          <w:lang w:val="en-GB"/>
        </w:rPr>
        <w:t xml:space="preserve"> the following:</w:t>
      </w:r>
    </w:p>
    <w:p w14:paraId="5FC608D0" w14:textId="77777777" w:rsidR="001706E3" w:rsidRPr="004A2C12" w:rsidRDefault="001706E3" w:rsidP="001706E3">
      <w:pPr>
        <w:pStyle w:val="ListParagraph"/>
        <w:numPr>
          <w:ilvl w:val="0"/>
          <w:numId w:val="23"/>
        </w:numPr>
        <w:rPr>
          <w:lang w:val="en-GB"/>
        </w:rPr>
      </w:pPr>
      <w:r w:rsidRPr="004A2C12">
        <w:rPr>
          <w:lang w:val="en-GB"/>
        </w:rPr>
        <w:t>Multiple facilities may be accessed using a single voucher.</w:t>
      </w:r>
    </w:p>
    <w:p w14:paraId="4B4CEA1B" w14:textId="77777777" w:rsidR="001706E3" w:rsidRPr="004A2C12" w:rsidRDefault="001706E3" w:rsidP="001706E3">
      <w:pPr>
        <w:pStyle w:val="ListParagraph"/>
        <w:numPr>
          <w:ilvl w:val="0"/>
          <w:numId w:val="23"/>
        </w:numPr>
        <w:rPr>
          <w:lang w:val="en-GB"/>
        </w:rPr>
      </w:pPr>
      <w:r w:rsidRPr="004A2C12">
        <w:rPr>
          <w:lang w:val="en-GB"/>
        </w:rPr>
        <w:t xml:space="preserve">An applicant may apply to multiple facilities to support </w:t>
      </w:r>
      <w:r w:rsidRPr="005D4845">
        <w:rPr>
          <w:b/>
          <w:bCs/>
          <w:lang w:val="en-GB"/>
        </w:rPr>
        <w:t>different aspects</w:t>
      </w:r>
      <w:r w:rsidRPr="004A2C12">
        <w:rPr>
          <w:lang w:val="en-GB"/>
        </w:rPr>
        <w:t xml:space="preserve"> of the same project, although the maximum voucher benefit to a facility is $50,000 per project.</w:t>
      </w:r>
    </w:p>
    <w:p w14:paraId="0FA20345" w14:textId="71DA0125" w:rsidR="001C11D7" w:rsidRDefault="001C11D7" w:rsidP="001C11D7">
      <w:pPr>
        <w:pStyle w:val="Heading2"/>
        <w:rPr>
          <w:lang w:val="en-GB"/>
        </w:rPr>
      </w:pPr>
      <w:r>
        <w:rPr>
          <w:lang w:val="en-GB"/>
        </w:rPr>
        <w:t>Co-investment expectations</w:t>
      </w:r>
    </w:p>
    <w:p w14:paraId="23819CC8" w14:textId="77777777" w:rsidR="00D72FA8" w:rsidRDefault="00D72FA8" w:rsidP="00D72FA8">
      <w:pPr>
        <w:rPr>
          <w:rFonts w:eastAsia="Calibri" w:cs="Calibri"/>
          <w:lang w:val="en-GB"/>
        </w:rPr>
      </w:pPr>
      <w:r w:rsidRPr="2F72C7C5">
        <w:rPr>
          <w:rFonts w:eastAsia="Calibri" w:cs="Calibri"/>
          <w:lang w:val="en-GB"/>
        </w:rPr>
        <w:t>Co-investment is an important aspect of this scheme, as applicants must have some “skin in the game”</w:t>
      </w:r>
      <w:r>
        <w:rPr>
          <w:rFonts w:eastAsia="Calibri" w:cs="Calibri"/>
          <w:lang w:val="en-GB"/>
        </w:rPr>
        <w:t xml:space="preserve"> and must have access to sufficient resources to complete the proposed work</w:t>
      </w:r>
      <w:r w:rsidRPr="2F72C7C5">
        <w:rPr>
          <w:rFonts w:eastAsia="Calibri" w:cs="Calibri"/>
          <w:lang w:val="en-GB"/>
        </w:rPr>
        <w:t>.</w:t>
      </w:r>
      <w:r>
        <w:rPr>
          <w:rFonts w:eastAsia="Calibri" w:cs="Calibri"/>
          <w:lang w:val="en-GB"/>
        </w:rPr>
        <w:t xml:space="preserve"> </w:t>
      </w:r>
      <w:r w:rsidRPr="000B60AC">
        <w:rPr>
          <w:rFonts w:eastAsia="Calibri" w:cs="Calibri"/>
          <w:b/>
          <w:bCs/>
          <w:lang w:val="en-GB"/>
        </w:rPr>
        <w:t>Vouchers are not intended to fully-fund projects</w:t>
      </w:r>
      <w:r>
        <w:rPr>
          <w:rFonts w:eastAsia="Calibri" w:cs="Calibri"/>
          <w:lang w:val="en-GB"/>
        </w:rPr>
        <w:t>.</w:t>
      </w:r>
      <w:r w:rsidRPr="2F72C7C5">
        <w:rPr>
          <w:rFonts w:eastAsia="Calibri" w:cs="Calibri"/>
          <w:lang w:val="en-GB"/>
        </w:rPr>
        <w:t xml:space="preserve"> Applications must therefore demonstrate significant cash co-investment to confirm that, should the voucher be awarded, the proposed </w:t>
      </w:r>
      <w:r>
        <w:rPr>
          <w:rFonts w:eastAsia="Calibri" w:cs="Calibri"/>
          <w:lang w:val="en-GB"/>
        </w:rPr>
        <w:t>work</w:t>
      </w:r>
      <w:r w:rsidRPr="2F72C7C5">
        <w:rPr>
          <w:rFonts w:eastAsia="Calibri" w:cs="Calibri"/>
          <w:lang w:val="en-GB"/>
        </w:rPr>
        <w:t xml:space="preserve"> </w:t>
      </w:r>
      <w:r w:rsidRPr="00240408">
        <w:rPr>
          <w:rFonts w:eastAsia="Calibri" w:cs="Calibri"/>
          <w:lang w:val="en-GB"/>
        </w:rPr>
        <w:t xml:space="preserve">is fully </w:t>
      </w:r>
      <w:r>
        <w:rPr>
          <w:rFonts w:eastAsia="Calibri" w:cs="Calibri"/>
          <w:lang w:val="en-GB"/>
        </w:rPr>
        <w:t>supported</w:t>
      </w:r>
      <w:r w:rsidRPr="00240408">
        <w:rPr>
          <w:rFonts w:eastAsia="Calibri" w:cs="Calibri"/>
          <w:lang w:val="en-GB"/>
        </w:rPr>
        <w:t>.</w:t>
      </w:r>
    </w:p>
    <w:p w14:paraId="3E686B8A" w14:textId="77777777" w:rsidR="00D72FA8" w:rsidRPr="00FD7396" w:rsidRDefault="00D72FA8" w:rsidP="00D72FA8">
      <w:pPr>
        <w:rPr>
          <w:rFonts w:eastAsia="Calibri" w:cs="Calibri"/>
          <w:lang w:val="en-GB"/>
        </w:rPr>
      </w:pPr>
      <w:r w:rsidRPr="00240408">
        <w:rPr>
          <w:rFonts w:eastAsia="Calibri" w:cs="Calibri"/>
          <w:lang w:val="en-GB"/>
        </w:rPr>
        <w:t xml:space="preserve">The </w:t>
      </w:r>
      <w:r w:rsidRPr="000E1103">
        <w:rPr>
          <w:rFonts w:eastAsia="Calibri" w:cs="Calibri"/>
          <w:i/>
          <w:iCs/>
          <w:u w:val="single"/>
          <w:lang w:val="en-GB"/>
        </w:rPr>
        <w:t>ideal</w:t>
      </w:r>
      <w:r w:rsidRPr="00240408">
        <w:rPr>
          <w:rFonts w:eastAsia="Calibri" w:cs="Calibri"/>
          <w:lang w:val="en-GB"/>
        </w:rPr>
        <w:t xml:space="preserve"> level of co-investment is </w:t>
      </w:r>
      <w:r>
        <w:rPr>
          <w:rFonts w:eastAsia="Calibri" w:cs="Calibri"/>
          <w:lang w:val="en-GB"/>
        </w:rPr>
        <w:t xml:space="preserve">1:1 (100%) matching of the </w:t>
      </w:r>
      <w:r w:rsidRPr="00240408">
        <w:rPr>
          <w:rFonts w:eastAsia="Calibri" w:cs="Calibri"/>
          <w:lang w:val="en-GB"/>
        </w:rPr>
        <w:t>voucher</w:t>
      </w:r>
      <w:r>
        <w:rPr>
          <w:rFonts w:eastAsia="Calibri" w:cs="Calibri"/>
          <w:lang w:val="en-GB"/>
        </w:rPr>
        <w:t xml:space="preserve"> value</w:t>
      </w:r>
      <w:r w:rsidRPr="00240408">
        <w:rPr>
          <w:rFonts w:eastAsia="Calibri" w:cs="Calibri"/>
          <w:lang w:val="en-GB"/>
        </w:rPr>
        <w:t>.</w:t>
      </w:r>
      <w:r w:rsidRPr="00446983">
        <w:rPr>
          <w:rFonts w:eastAsia="Calibri" w:cs="Calibri"/>
          <w:lang w:val="en-GB"/>
        </w:rPr>
        <w:t xml:space="preserve"> </w:t>
      </w:r>
      <w:r w:rsidRPr="00240408">
        <w:rPr>
          <w:rFonts w:eastAsia="Calibri" w:cs="Calibri"/>
          <w:lang w:val="en-GB"/>
        </w:rPr>
        <w:t xml:space="preserve">For example, for a </w:t>
      </w:r>
      <w:r>
        <w:rPr>
          <w:rFonts w:eastAsia="Calibri" w:cs="Calibri"/>
          <w:lang w:val="en-GB"/>
        </w:rPr>
        <w:t xml:space="preserve">service quoted at </w:t>
      </w:r>
      <w:r w:rsidRPr="00240408">
        <w:rPr>
          <w:rFonts w:eastAsia="Calibri" w:cs="Calibri"/>
          <w:lang w:val="en-GB"/>
        </w:rPr>
        <w:t>$100,000, an Applicant can apply for $50,000 voucher</w:t>
      </w:r>
      <w:r>
        <w:rPr>
          <w:rFonts w:eastAsia="Calibri" w:cs="Calibri"/>
          <w:lang w:val="en-GB"/>
        </w:rPr>
        <w:t>, but contributes $50,000 to meet the total cost of the quoted service</w:t>
      </w:r>
      <w:r w:rsidRPr="00240408">
        <w:rPr>
          <w:rFonts w:eastAsia="Calibri" w:cs="Calibri"/>
          <w:lang w:val="en-GB"/>
        </w:rPr>
        <w:t>.</w:t>
      </w:r>
    </w:p>
    <w:p w14:paraId="46F26087" w14:textId="77777777" w:rsidR="00D72FA8" w:rsidRDefault="00D72FA8" w:rsidP="00D72FA8">
      <w:pPr>
        <w:rPr>
          <w:rFonts w:eastAsia="Calibri" w:cs="Calibri"/>
          <w:lang w:val="en-GB"/>
        </w:rPr>
      </w:pPr>
      <w:r>
        <w:rPr>
          <w:rFonts w:eastAsia="Calibri" w:cs="Calibri"/>
          <w:lang w:val="en-GB"/>
        </w:rPr>
        <w:t xml:space="preserve">The </w:t>
      </w:r>
      <w:r w:rsidRPr="000E1103">
        <w:rPr>
          <w:rFonts w:eastAsia="Calibri" w:cs="Calibri"/>
          <w:i/>
          <w:iCs/>
          <w:u w:val="single"/>
          <w:lang w:val="en-GB"/>
        </w:rPr>
        <w:t>minimum</w:t>
      </w:r>
      <w:r>
        <w:rPr>
          <w:rFonts w:eastAsia="Calibri" w:cs="Calibri"/>
          <w:lang w:val="en-GB"/>
        </w:rPr>
        <w:t xml:space="preserve"> level of co-investment is 50% of the voucher value. For example, for a service quoted at $30,000, an Applicant can apply for a $20,000 voucher, but must contribute an absolute minimum of $10,000 to meet the total cost of the quoted service.</w:t>
      </w:r>
    </w:p>
    <w:p w14:paraId="0C76D572" w14:textId="0CFC1B33" w:rsidR="005F511D" w:rsidRDefault="00073304" w:rsidP="006F66B9">
      <w:pPr>
        <w:pStyle w:val="Heading2"/>
        <w:rPr>
          <w:lang w:val="en-GB"/>
        </w:rPr>
      </w:pPr>
      <w:r>
        <w:rPr>
          <w:lang w:val="en-GB"/>
        </w:rPr>
        <w:t>Application</w:t>
      </w:r>
      <w:r w:rsidR="00235FEC">
        <w:rPr>
          <w:lang w:val="en-GB"/>
        </w:rPr>
        <w:t xml:space="preserve"> and funding</w:t>
      </w:r>
      <w:r>
        <w:rPr>
          <w:lang w:val="en-GB"/>
        </w:rPr>
        <w:t xml:space="preserve"> process</w:t>
      </w:r>
    </w:p>
    <w:p w14:paraId="46044316" w14:textId="01EF0719" w:rsidR="002C0F62" w:rsidRPr="009065BF" w:rsidRDefault="002C0F62" w:rsidP="007634FD">
      <w:pPr>
        <w:pStyle w:val="ListParagraph"/>
        <w:numPr>
          <w:ilvl w:val="0"/>
          <w:numId w:val="15"/>
        </w:numPr>
        <w:rPr>
          <w:b/>
          <w:i/>
          <w:sz w:val="28"/>
          <w:lang w:val="en-GB"/>
        </w:rPr>
      </w:pPr>
      <w:r w:rsidRPr="009065BF">
        <w:rPr>
          <w:b/>
          <w:i/>
          <w:sz w:val="28"/>
          <w:lang w:val="en-GB"/>
        </w:rPr>
        <w:t>Applications open</w:t>
      </w:r>
    </w:p>
    <w:p w14:paraId="4B869730" w14:textId="77777777" w:rsidR="006F66B9" w:rsidRPr="006F66B9" w:rsidRDefault="006F66B9" w:rsidP="006F66B9">
      <w:pPr>
        <w:spacing w:after="0"/>
        <w:rPr>
          <w:lang w:val="en-GB"/>
        </w:rPr>
      </w:pPr>
      <w:r w:rsidRPr="006F66B9">
        <w:rPr>
          <w:lang w:val="en-GB"/>
        </w:rPr>
        <w:t xml:space="preserve">TIA publishes a call for applications through a variety of channels. </w:t>
      </w:r>
    </w:p>
    <w:p w14:paraId="4E75D610" w14:textId="77777777" w:rsidR="005F511D" w:rsidRPr="005F511D" w:rsidRDefault="005F511D" w:rsidP="005F511D">
      <w:pPr>
        <w:spacing w:after="0"/>
        <w:rPr>
          <w:lang w:val="en-GB"/>
        </w:rPr>
      </w:pPr>
    </w:p>
    <w:p w14:paraId="76F15CCF" w14:textId="612866B6" w:rsidR="005F511D" w:rsidRDefault="005F511D" w:rsidP="005F511D">
      <w:pPr>
        <w:spacing w:after="0"/>
        <w:rPr>
          <w:lang w:val="en-GB"/>
        </w:rPr>
      </w:pPr>
      <w:r w:rsidRPr="005F511D">
        <w:rPr>
          <w:lang w:val="en-GB"/>
        </w:rPr>
        <w:t>Applicants approach Providers with</w:t>
      </w:r>
      <w:r w:rsidR="007D1448">
        <w:rPr>
          <w:lang w:val="en-GB"/>
        </w:rPr>
        <w:t xml:space="preserve"> a</w:t>
      </w:r>
      <w:r w:rsidRPr="005F511D">
        <w:rPr>
          <w:lang w:val="en-GB"/>
        </w:rPr>
        <w:t xml:space="preserve"> project</w:t>
      </w:r>
      <w:r w:rsidR="005C2FC7">
        <w:rPr>
          <w:lang w:val="en-GB"/>
        </w:rPr>
        <w:t xml:space="preserve"> (</w:t>
      </w:r>
      <w:proofErr w:type="gramStart"/>
      <w:r w:rsidR="005C2FC7">
        <w:rPr>
          <w:lang w:val="en-GB"/>
        </w:rPr>
        <w:t>i.e.</w:t>
      </w:r>
      <w:proofErr w:type="gramEnd"/>
      <w:r w:rsidR="005C2FC7">
        <w:rPr>
          <w:lang w:val="en-GB"/>
        </w:rPr>
        <w:t xml:space="preserve"> request to access a specific translational research capability)</w:t>
      </w:r>
      <w:r w:rsidRPr="005F511D">
        <w:rPr>
          <w:lang w:val="en-GB"/>
        </w:rPr>
        <w:t xml:space="preserve"> and request</w:t>
      </w:r>
      <w:r w:rsidR="005C2FC7">
        <w:rPr>
          <w:lang w:val="en-GB"/>
        </w:rPr>
        <w:t xml:space="preserve"> a</w:t>
      </w:r>
      <w:r w:rsidRPr="005F511D">
        <w:rPr>
          <w:lang w:val="en-GB"/>
        </w:rPr>
        <w:t xml:space="preserve"> quote</w:t>
      </w:r>
      <w:r w:rsidR="00F8328F">
        <w:rPr>
          <w:lang w:val="en-GB"/>
        </w:rPr>
        <w:t xml:space="preserve"> for services</w:t>
      </w:r>
      <w:r w:rsidR="005C2FC7">
        <w:rPr>
          <w:lang w:val="en-GB"/>
        </w:rPr>
        <w:t>.</w:t>
      </w:r>
      <w:r w:rsidR="00971CBB">
        <w:rPr>
          <w:lang w:val="en-GB"/>
        </w:rPr>
        <w:t xml:space="preserve"> The level of detail of the quotes will vary between facilities</w:t>
      </w:r>
      <w:r w:rsidR="00584F24">
        <w:rPr>
          <w:lang w:val="en-GB"/>
        </w:rPr>
        <w:t>.</w:t>
      </w:r>
      <w:r w:rsidR="00BE60EB">
        <w:rPr>
          <w:lang w:val="en-GB"/>
        </w:rPr>
        <w:t xml:space="preserve"> </w:t>
      </w:r>
    </w:p>
    <w:p w14:paraId="2228F89C" w14:textId="71843EFD" w:rsidR="005C2FC7" w:rsidRPr="005F511D" w:rsidRDefault="00E61432" w:rsidP="00E61432">
      <w:pPr>
        <w:tabs>
          <w:tab w:val="left" w:pos="2955"/>
        </w:tabs>
        <w:spacing w:after="0"/>
        <w:rPr>
          <w:lang w:val="en-GB"/>
        </w:rPr>
      </w:pPr>
      <w:r>
        <w:rPr>
          <w:lang w:val="en-GB"/>
        </w:rPr>
        <w:tab/>
      </w:r>
    </w:p>
    <w:p w14:paraId="60EA9368" w14:textId="587C5F62" w:rsidR="00BE60EB" w:rsidRPr="00BE60EB" w:rsidRDefault="005F511D" w:rsidP="00BE60EB">
      <w:pPr>
        <w:spacing w:after="0"/>
        <w:rPr>
          <w:lang w:val="en-GB"/>
        </w:rPr>
      </w:pPr>
      <w:r w:rsidRPr="005F511D">
        <w:rPr>
          <w:lang w:val="en-GB"/>
        </w:rPr>
        <w:t>Applicant writes brief application for support</w:t>
      </w:r>
      <w:r w:rsidR="00205985">
        <w:rPr>
          <w:lang w:val="en-GB"/>
        </w:rPr>
        <w:t xml:space="preserve">, using the template provided, </w:t>
      </w:r>
      <w:r w:rsidRPr="005F511D">
        <w:rPr>
          <w:lang w:val="en-GB"/>
        </w:rPr>
        <w:t xml:space="preserve">and requests either </w:t>
      </w:r>
      <w:r w:rsidR="009643E5">
        <w:rPr>
          <w:lang w:val="en-GB"/>
        </w:rPr>
        <w:t>$</w:t>
      </w:r>
      <w:r w:rsidR="008967C8" w:rsidRPr="005F511D">
        <w:rPr>
          <w:lang w:val="en-GB"/>
        </w:rPr>
        <w:t>20</w:t>
      </w:r>
      <w:r w:rsidR="008967C8" w:rsidRPr="00016094">
        <w:rPr>
          <w:lang w:val="en-GB"/>
        </w:rPr>
        <w:t xml:space="preserve">,000 </w:t>
      </w:r>
      <w:r w:rsidR="00C83FE2" w:rsidRPr="00016094">
        <w:rPr>
          <w:lang w:val="en-GB"/>
        </w:rPr>
        <w:t xml:space="preserve">ex GST </w:t>
      </w:r>
      <w:r w:rsidR="008967C8" w:rsidRPr="00016094">
        <w:rPr>
          <w:lang w:val="en-GB"/>
        </w:rPr>
        <w:t>or $50,000</w:t>
      </w:r>
      <w:r w:rsidR="00C83FE2" w:rsidRPr="00016094">
        <w:rPr>
          <w:lang w:val="en-GB"/>
        </w:rPr>
        <w:t xml:space="preserve"> ex GST</w:t>
      </w:r>
      <w:r w:rsidR="008967C8" w:rsidRPr="00016094">
        <w:rPr>
          <w:lang w:val="en-GB"/>
        </w:rPr>
        <w:t>.</w:t>
      </w:r>
    </w:p>
    <w:p w14:paraId="5D1B7F0F" w14:textId="77777777" w:rsidR="00BE60EB" w:rsidRDefault="00BE60EB" w:rsidP="00BE60EB">
      <w:pPr>
        <w:spacing w:after="0"/>
        <w:rPr>
          <w:lang w:val="en-GB"/>
        </w:rPr>
      </w:pPr>
    </w:p>
    <w:p w14:paraId="3C959EF6" w14:textId="10D1603D" w:rsidR="005F511D" w:rsidRPr="00971CBB" w:rsidRDefault="00971CBB" w:rsidP="00BE60EB">
      <w:pPr>
        <w:spacing w:after="0"/>
        <w:rPr>
          <w:b/>
          <w:bCs/>
          <w:i/>
          <w:iCs/>
          <w:lang w:val="en-GB"/>
        </w:rPr>
      </w:pPr>
      <w:r>
        <w:rPr>
          <w:b/>
          <w:bCs/>
          <w:i/>
          <w:iCs/>
          <w:lang w:val="en-GB"/>
        </w:rPr>
        <w:t xml:space="preserve">IMPORTANT: </w:t>
      </w:r>
      <w:r w:rsidR="00BE60EB" w:rsidRPr="00971CBB">
        <w:rPr>
          <w:b/>
          <w:bCs/>
          <w:i/>
          <w:iCs/>
          <w:lang w:val="en-GB"/>
        </w:rPr>
        <w:t xml:space="preserve">It </w:t>
      </w:r>
      <w:r w:rsidR="005D40B5" w:rsidRPr="00971CBB">
        <w:rPr>
          <w:b/>
          <w:bCs/>
          <w:i/>
          <w:iCs/>
          <w:lang w:val="en-GB"/>
        </w:rPr>
        <w:t xml:space="preserve">will be assumed that </w:t>
      </w:r>
      <w:r w:rsidR="00BE60EB" w:rsidRPr="00971CBB">
        <w:rPr>
          <w:b/>
          <w:bCs/>
          <w:i/>
          <w:iCs/>
          <w:lang w:val="en-GB"/>
        </w:rPr>
        <w:t xml:space="preserve">Providers will </w:t>
      </w:r>
      <w:r w:rsidR="005D40B5" w:rsidRPr="00971CBB">
        <w:rPr>
          <w:b/>
          <w:bCs/>
          <w:i/>
          <w:iCs/>
          <w:lang w:val="en-GB"/>
        </w:rPr>
        <w:t xml:space="preserve">have worked </w:t>
      </w:r>
      <w:r w:rsidR="00BE60EB" w:rsidRPr="00971CBB">
        <w:rPr>
          <w:b/>
          <w:bCs/>
          <w:i/>
          <w:iCs/>
          <w:lang w:val="en-GB"/>
        </w:rPr>
        <w:t xml:space="preserve">closely with Applicants on the application and </w:t>
      </w:r>
      <w:r w:rsidR="005D40B5" w:rsidRPr="00971CBB">
        <w:rPr>
          <w:b/>
          <w:bCs/>
          <w:i/>
          <w:iCs/>
          <w:lang w:val="en-GB"/>
        </w:rPr>
        <w:t xml:space="preserve">will have </w:t>
      </w:r>
      <w:r w:rsidR="00BE60EB" w:rsidRPr="00971CBB">
        <w:rPr>
          <w:b/>
          <w:bCs/>
          <w:i/>
          <w:iCs/>
          <w:lang w:val="en-GB"/>
        </w:rPr>
        <w:t>provide</w:t>
      </w:r>
      <w:r w:rsidR="005D40B5" w:rsidRPr="00971CBB">
        <w:rPr>
          <w:b/>
          <w:bCs/>
          <w:i/>
          <w:iCs/>
          <w:lang w:val="en-GB"/>
        </w:rPr>
        <w:t>d</w:t>
      </w:r>
      <w:r w:rsidR="00BE60EB" w:rsidRPr="00971CBB">
        <w:rPr>
          <w:b/>
          <w:bCs/>
          <w:i/>
          <w:iCs/>
          <w:lang w:val="en-GB"/>
        </w:rPr>
        <w:t xml:space="preserve"> the necessary advice </w:t>
      </w:r>
      <w:r w:rsidR="0066084C" w:rsidRPr="00971CBB">
        <w:rPr>
          <w:b/>
          <w:bCs/>
          <w:i/>
          <w:iCs/>
          <w:lang w:val="en-GB"/>
        </w:rPr>
        <w:t xml:space="preserve">and guidance </w:t>
      </w:r>
      <w:r w:rsidR="00BE60EB" w:rsidRPr="00971CBB">
        <w:rPr>
          <w:b/>
          <w:bCs/>
          <w:i/>
          <w:iCs/>
          <w:lang w:val="en-GB"/>
        </w:rPr>
        <w:t xml:space="preserve">to maximise the chance of </w:t>
      </w:r>
      <w:r w:rsidR="005D40B5" w:rsidRPr="00971CBB">
        <w:rPr>
          <w:b/>
          <w:bCs/>
          <w:i/>
          <w:iCs/>
          <w:lang w:val="en-GB"/>
        </w:rPr>
        <w:t xml:space="preserve">project </w:t>
      </w:r>
      <w:r w:rsidR="00BE60EB" w:rsidRPr="00971CBB">
        <w:rPr>
          <w:b/>
          <w:bCs/>
          <w:i/>
          <w:iCs/>
          <w:lang w:val="en-GB"/>
        </w:rPr>
        <w:t>success.</w:t>
      </w:r>
    </w:p>
    <w:p w14:paraId="1C199042" w14:textId="77777777" w:rsidR="004D2D28" w:rsidRDefault="004D2D28" w:rsidP="005F511D">
      <w:pPr>
        <w:spacing w:after="0"/>
        <w:rPr>
          <w:i/>
          <w:iCs/>
          <w:lang w:val="en-GB"/>
        </w:rPr>
      </w:pPr>
    </w:p>
    <w:p w14:paraId="789FF93A" w14:textId="6DE66E60" w:rsidR="00CC4276" w:rsidRPr="005F511D" w:rsidRDefault="00F70D4E" w:rsidP="00BE60EB">
      <w:pPr>
        <w:spacing w:after="0"/>
        <w:rPr>
          <w:lang w:val="en-GB"/>
        </w:rPr>
      </w:pPr>
      <w:r>
        <w:rPr>
          <w:iCs/>
          <w:lang w:val="en-GB"/>
        </w:rPr>
        <w:t xml:space="preserve">The </w:t>
      </w:r>
      <w:r w:rsidR="004D2D28" w:rsidRPr="004D2D28">
        <w:rPr>
          <w:iCs/>
          <w:lang w:val="en-GB"/>
        </w:rPr>
        <w:t xml:space="preserve">Application </w:t>
      </w:r>
      <w:r>
        <w:rPr>
          <w:iCs/>
          <w:lang w:val="en-GB"/>
        </w:rPr>
        <w:t xml:space="preserve">package </w:t>
      </w:r>
      <w:r w:rsidR="004D2D28" w:rsidRPr="004D2D28">
        <w:rPr>
          <w:iCs/>
          <w:lang w:val="en-GB"/>
        </w:rPr>
        <w:t>wil</w:t>
      </w:r>
      <w:r w:rsidR="004D2D28">
        <w:rPr>
          <w:iCs/>
          <w:lang w:val="en-GB"/>
        </w:rPr>
        <w:t>l</w:t>
      </w:r>
      <w:r w:rsidR="004D2D28" w:rsidRPr="004D2D28">
        <w:rPr>
          <w:iCs/>
          <w:lang w:val="en-GB"/>
        </w:rPr>
        <w:t xml:space="preserve"> be </w:t>
      </w:r>
      <w:r w:rsidR="0066084C">
        <w:rPr>
          <w:iCs/>
          <w:lang w:val="en-GB"/>
        </w:rPr>
        <w:t xml:space="preserve">hosted </w:t>
      </w:r>
      <w:r w:rsidR="004D2D28" w:rsidRPr="004D2D28">
        <w:rPr>
          <w:iCs/>
          <w:lang w:val="en-GB"/>
        </w:rPr>
        <w:t xml:space="preserve">on the </w:t>
      </w:r>
      <w:r w:rsidR="0066084C">
        <w:rPr>
          <w:iCs/>
          <w:lang w:val="en-GB"/>
        </w:rPr>
        <w:t xml:space="preserve">TIA </w:t>
      </w:r>
      <w:r w:rsidR="004D2D28" w:rsidRPr="004D2D28">
        <w:rPr>
          <w:iCs/>
          <w:lang w:val="en-GB"/>
        </w:rPr>
        <w:t>website</w:t>
      </w:r>
      <w:r w:rsidR="00BE60EB">
        <w:rPr>
          <w:iCs/>
          <w:lang w:val="en-GB"/>
        </w:rPr>
        <w:t xml:space="preserve"> </w:t>
      </w:r>
      <w:r w:rsidR="0066084C">
        <w:rPr>
          <w:iCs/>
          <w:lang w:val="en-GB"/>
        </w:rPr>
        <w:t xml:space="preserve">at the following URL:  </w:t>
      </w:r>
      <w:hyperlink r:id="rId46" w:history="1">
        <w:r w:rsidR="0066084C" w:rsidRPr="00BD5D57">
          <w:rPr>
            <w:rStyle w:val="Hyperlink"/>
            <w:iCs/>
            <w:lang w:val="en-GB"/>
          </w:rPr>
          <w:t>http://www.therapeuticinnovation.com.au/accelerator</w:t>
        </w:r>
      </w:hyperlink>
      <w:r w:rsidR="004D2D28" w:rsidRPr="004D2D28">
        <w:rPr>
          <w:iCs/>
          <w:lang w:val="en-GB"/>
        </w:rPr>
        <w:t>.</w:t>
      </w:r>
      <w:r>
        <w:rPr>
          <w:iCs/>
          <w:lang w:val="en-GB"/>
        </w:rPr>
        <w:t xml:space="preserve"> </w:t>
      </w:r>
      <w:r w:rsidR="00BE60EB">
        <w:rPr>
          <w:iCs/>
          <w:lang w:val="en-GB"/>
        </w:rPr>
        <w:t>Detailed instructions are included on the Application form template.</w:t>
      </w:r>
    </w:p>
    <w:p w14:paraId="6B95EBF3" w14:textId="77777777" w:rsidR="005F511D" w:rsidRPr="005F511D" w:rsidRDefault="005F511D" w:rsidP="005F511D">
      <w:pPr>
        <w:spacing w:after="0"/>
        <w:rPr>
          <w:lang w:val="en-GB"/>
        </w:rPr>
      </w:pPr>
    </w:p>
    <w:p w14:paraId="4BA4C0A5" w14:textId="1EA1B53D" w:rsidR="005F511D" w:rsidRDefault="005F511D" w:rsidP="005F511D">
      <w:pPr>
        <w:spacing w:after="0"/>
        <w:rPr>
          <w:lang w:val="en-GB"/>
        </w:rPr>
      </w:pPr>
      <w:r w:rsidRPr="005F511D">
        <w:rPr>
          <w:lang w:val="en-GB"/>
        </w:rPr>
        <w:t>Appli</w:t>
      </w:r>
      <w:r w:rsidR="006F49AB">
        <w:rPr>
          <w:lang w:val="en-GB"/>
        </w:rPr>
        <w:t xml:space="preserve">cant submits application </w:t>
      </w:r>
      <w:r w:rsidR="0066084C">
        <w:rPr>
          <w:lang w:val="en-GB"/>
        </w:rPr>
        <w:t xml:space="preserve">package </w:t>
      </w:r>
      <w:r w:rsidR="006F49AB">
        <w:rPr>
          <w:lang w:val="en-GB"/>
        </w:rPr>
        <w:t>to TIA</w:t>
      </w:r>
      <w:r w:rsidR="00BE60EB">
        <w:rPr>
          <w:lang w:val="en-GB"/>
        </w:rPr>
        <w:t xml:space="preserve"> before the closing date</w:t>
      </w:r>
      <w:r w:rsidR="00240052">
        <w:rPr>
          <w:lang w:val="en-GB"/>
        </w:rPr>
        <w:t>, which will be advised on the scheme’s webpage</w:t>
      </w:r>
      <w:r w:rsidR="00F8328F">
        <w:rPr>
          <w:lang w:val="en-GB"/>
        </w:rPr>
        <w:t xml:space="preserve"> and on the application form</w:t>
      </w:r>
      <w:r w:rsidR="006F49AB">
        <w:rPr>
          <w:lang w:val="en-GB"/>
        </w:rPr>
        <w:t>.</w:t>
      </w:r>
    </w:p>
    <w:p w14:paraId="3B84CA44" w14:textId="67B15E87" w:rsidR="00F70D4E" w:rsidRPr="009065BF" w:rsidRDefault="00F70D4E" w:rsidP="007634FD">
      <w:pPr>
        <w:pStyle w:val="ListParagraph"/>
        <w:numPr>
          <w:ilvl w:val="0"/>
          <w:numId w:val="15"/>
        </w:numPr>
        <w:spacing w:after="0"/>
        <w:rPr>
          <w:b/>
          <w:i/>
          <w:sz w:val="28"/>
          <w:lang w:val="en-GB"/>
        </w:rPr>
      </w:pPr>
      <w:r w:rsidRPr="009065BF">
        <w:rPr>
          <w:b/>
          <w:i/>
          <w:sz w:val="28"/>
          <w:lang w:val="en-GB"/>
        </w:rPr>
        <w:t>Applications close</w:t>
      </w:r>
    </w:p>
    <w:p w14:paraId="705068DF" w14:textId="5DC9F8FE" w:rsidR="00F70D4E" w:rsidRDefault="00F70D4E" w:rsidP="005F511D">
      <w:pPr>
        <w:spacing w:after="0"/>
        <w:rPr>
          <w:lang w:val="en-GB"/>
        </w:rPr>
      </w:pPr>
    </w:p>
    <w:p w14:paraId="4D07E6C7" w14:textId="72A9A562" w:rsidR="005F511D" w:rsidRPr="009065BF" w:rsidRDefault="005F511D" w:rsidP="007634FD">
      <w:pPr>
        <w:pStyle w:val="ListParagraph"/>
        <w:numPr>
          <w:ilvl w:val="0"/>
          <w:numId w:val="15"/>
        </w:numPr>
        <w:spacing w:after="0"/>
        <w:rPr>
          <w:b/>
          <w:i/>
          <w:sz w:val="28"/>
          <w:lang w:val="en-GB"/>
        </w:rPr>
      </w:pPr>
      <w:r w:rsidRPr="009065BF">
        <w:rPr>
          <w:b/>
          <w:i/>
          <w:sz w:val="28"/>
          <w:lang w:val="en-GB"/>
        </w:rPr>
        <w:t>Project selection</w:t>
      </w:r>
    </w:p>
    <w:p w14:paraId="432D3D5B" w14:textId="77777777" w:rsidR="005F511D" w:rsidRPr="005F511D" w:rsidRDefault="005F511D" w:rsidP="005F511D">
      <w:pPr>
        <w:spacing w:after="0"/>
        <w:rPr>
          <w:lang w:val="en-GB"/>
        </w:rPr>
      </w:pPr>
    </w:p>
    <w:p w14:paraId="0A7F4699" w14:textId="6D9857C4" w:rsidR="005F511D" w:rsidRPr="005F511D" w:rsidRDefault="00D64A25" w:rsidP="005F511D">
      <w:pPr>
        <w:spacing w:after="0"/>
        <w:rPr>
          <w:lang w:val="en-GB"/>
        </w:rPr>
      </w:pPr>
      <w:r>
        <w:rPr>
          <w:lang w:val="en-GB"/>
        </w:rPr>
        <w:lastRenderedPageBreak/>
        <w:t>A</w:t>
      </w:r>
      <w:r w:rsidR="009065BF">
        <w:rPr>
          <w:lang w:val="en-GB"/>
        </w:rPr>
        <w:t xml:space="preserve"> </w:t>
      </w:r>
      <w:r w:rsidR="005F511D" w:rsidRPr="005F511D">
        <w:rPr>
          <w:lang w:val="en-GB"/>
        </w:rPr>
        <w:t>panel</w:t>
      </w:r>
      <w:r w:rsidR="00205985">
        <w:rPr>
          <w:lang w:val="en-GB"/>
        </w:rPr>
        <w:t>,</w:t>
      </w:r>
      <w:r w:rsidR="005F511D" w:rsidRPr="005F511D">
        <w:rPr>
          <w:lang w:val="en-GB"/>
        </w:rPr>
        <w:t xml:space="preserve"> </w:t>
      </w:r>
      <w:r w:rsidR="003B09CE">
        <w:rPr>
          <w:lang w:val="en-GB"/>
        </w:rPr>
        <w:t>including independent external experts</w:t>
      </w:r>
      <w:r w:rsidR="00205985">
        <w:rPr>
          <w:lang w:val="en-GB"/>
        </w:rPr>
        <w:t>,</w:t>
      </w:r>
      <w:r w:rsidR="003B09CE">
        <w:rPr>
          <w:lang w:val="en-GB"/>
        </w:rPr>
        <w:t xml:space="preserve"> </w:t>
      </w:r>
      <w:r w:rsidR="005F511D" w:rsidRPr="005F511D">
        <w:rPr>
          <w:lang w:val="en-GB"/>
        </w:rPr>
        <w:t xml:space="preserve">assesses applications and decide on awards. </w:t>
      </w:r>
      <w:r w:rsidR="003B09CE">
        <w:rPr>
          <w:lang w:val="en-GB"/>
        </w:rPr>
        <w:t>The a</w:t>
      </w:r>
      <w:r w:rsidR="00E43558">
        <w:rPr>
          <w:lang w:val="en-GB"/>
        </w:rPr>
        <w:t>ssessment process may be staged</w:t>
      </w:r>
      <w:r w:rsidR="006F49AB">
        <w:rPr>
          <w:lang w:val="en-GB"/>
        </w:rPr>
        <w:t>,</w:t>
      </w:r>
      <w:r w:rsidR="00E43558">
        <w:rPr>
          <w:lang w:val="en-GB"/>
        </w:rPr>
        <w:t xml:space="preserve"> depending on </w:t>
      </w:r>
      <w:r w:rsidR="009065BF">
        <w:rPr>
          <w:lang w:val="en-GB"/>
        </w:rPr>
        <w:t>the number</w:t>
      </w:r>
      <w:r w:rsidR="006F49AB">
        <w:rPr>
          <w:lang w:val="en-GB"/>
        </w:rPr>
        <w:t xml:space="preserve"> of applications</w:t>
      </w:r>
      <w:r w:rsidR="009065BF">
        <w:rPr>
          <w:lang w:val="en-GB"/>
        </w:rPr>
        <w:t xml:space="preserve"> received</w:t>
      </w:r>
      <w:r w:rsidR="00E43558">
        <w:rPr>
          <w:lang w:val="en-GB"/>
        </w:rPr>
        <w:t>.</w:t>
      </w:r>
    </w:p>
    <w:p w14:paraId="5919772B" w14:textId="77777777" w:rsidR="00D64A25" w:rsidRPr="005F511D" w:rsidRDefault="00D64A25" w:rsidP="005F511D">
      <w:pPr>
        <w:spacing w:after="0"/>
        <w:rPr>
          <w:lang w:val="en-GB"/>
        </w:rPr>
      </w:pPr>
    </w:p>
    <w:p w14:paraId="2E14C57A" w14:textId="02C67962" w:rsidR="00B66570" w:rsidRDefault="00B66570" w:rsidP="00B66570">
      <w:pPr>
        <w:spacing w:after="0"/>
        <w:rPr>
          <w:lang w:val="en-GB"/>
        </w:rPr>
      </w:pPr>
      <w:r>
        <w:rPr>
          <w:lang w:val="en-GB"/>
        </w:rPr>
        <w:t xml:space="preserve">TIA sends unsuccessful applicants a letter with, if </w:t>
      </w:r>
      <w:r w:rsidR="00240052">
        <w:rPr>
          <w:lang w:val="en-GB"/>
        </w:rPr>
        <w:t>available</w:t>
      </w:r>
      <w:r>
        <w:rPr>
          <w:lang w:val="en-GB"/>
        </w:rPr>
        <w:t>, feedback on the application.</w:t>
      </w:r>
    </w:p>
    <w:p w14:paraId="43C9C198" w14:textId="77777777" w:rsidR="00B66570" w:rsidRDefault="00B66570" w:rsidP="005F511D">
      <w:pPr>
        <w:spacing w:after="0"/>
        <w:rPr>
          <w:lang w:val="en-GB"/>
        </w:rPr>
      </w:pPr>
    </w:p>
    <w:p w14:paraId="7B691C08" w14:textId="4AF2EC9E" w:rsidR="005F511D" w:rsidRDefault="005F511D" w:rsidP="00C25A45">
      <w:pPr>
        <w:spacing w:after="0"/>
        <w:rPr>
          <w:lang w:val="en-GB"/>
        </w:rPr>
      </w:pPr>
      <w:r w:rsidRPr="005F511D">
        <w:rPr>
          <w:lang w:val="en-GB"/>
        </w:rPr>
        <w:t xml:space="preserve">TIA sends </w:t>
      </w:r>
      <w:r w:rsidR="00D64A25">
        <w:rPr>
          <w:lang w:val="en-GB"/>
        </w:rPr>
        <w:t xml:space="preserve">successful </w:t>
      </w:r>
      <w:r w:rsidRPr="005F511D">
        <w:rPr>
          <w:lang w:val="en-GB"/>
        </w:rPr>
        <w:t>Applicant</w:t>
      </w:r>
      <w:r w:rsidR="00E43558">
        <w:rPr>
          <w:lang w:val="en-GB"/>
        </w:rPr>
        <w:t>s</w:t>
      </w:r>
      <w:r w:rsidRPr="005F511D">
        <w:rPr>
          <w:lang w:val="en-GB"/>
        </w:rPr>
        <w:t xml:space="preserve"> a </w:t>
      </w:r>
      <w:r w:rsidR="00B44A86" w:rsidRPr="00F8328F">
        <w:rPr>
          <w:b/>
          <w:bCs/>
          <w:lang w:val="en-GB"/>
        </w:rPr>
        <w:t xml:space="preserve">Letter </w:t>
      </w:r>
      <w:r w:rsidRPr="00F8328F">
        <w:rPr>
          <w:b/>
          <w:bCs/>
          <w:lang w:val="en-GB"/>
        </w:rPr>
        <w:t xml:space="preserve">of </w:t>
      </w:r>
      <w:r w:rsidR="00B44A86" w:rsidRPr="00F8328F">
        <w:rPr>
          <w:b/>
          <w:bCs/>
          <w:lang w:val="en-GB"/>
        </w:rPr>
        <w:t>Offer</w:t>
      </w:r>
      <w:r w:rsidR="00D64A25">
        <w:rPr>
          <w:lang w:val="en-GB"/>
        </w:rPr>
        <w:t>, cc: the specified Provider</w:t>
      </w:r>
      <w:r w:rsidRPr="005F511D">
        <w:rPr>
          <w:lang w:val="en-GB"/>
        </w:rPr>
        <w:t xml:space="preserve">. </w:t>
      </w:r>
      <w:r w:rsidR="00D5345F">
        <w:rPr>
          <w:lang w:val="en-GB"/>
        </w:rPr>
        <w:t xml:space="preserve">This letter </w:t>
      </w:r>
      <w:r w:rsidRPr="005F511D">
        <w:rPr>
          <w:lang w:val="en-GB"/>
        </w:rPr>
        <w:t>includes</w:t>
      </w:r>
      <w:r w:rsidR="00D5345F">
        <w:rPr>
          <w:lang w:val="en-GB"/>
        </w:rPr>
        <w:t xml:space="preserve"> the o</w:t>
      </w:r>
      <w:r w:rsidRPr="005F511D">
        <w:rPr>
          <w:lang w:val="en-GB"/>
        </w:rPr>
        <w:t>bligations o</w:t>
      </w:r>
      <w:r w:rsidR="005C33CF">
        <w:rPr>
          <w:lang w:val="en-GB"/>
        </w:rPr>
        <w:t>f</w:t>
      </w:r>
      <w:r w:rsidRPr="005F511D">
        <w:rPr>
          <w:lang w:val="en-GB"/>
        </w:rPr>
        <w:t xml:space="preserve"> </w:t>
      </w:r>
      <w:r w:rsidR="006F49AB">
        <w:rPr>
          <w:lang w:val="en-GB"/>
        </w:rPr>
        <w:t xml:space="preserve">TIA, </w:t>
      </w:r>
      <w:r w:rsidRPr="005F511D">
        <w:rPr>
          <w:lang w:val="en-GB"/>
        </w:rPr>
        <w:t xml:space="preserve">Applicant and </w:t>
      </w:r>
      <w:r w:rsidR="00F70D4E">
        <w:rPr>
          <w:lang w:val="en-GB"/>
        </w:rPr>
        <w:t>Provider as follows:</w:t>
      </w:r>
    </w:p>
    <w:p w14:paraId="30C3F16F" w14:textId="77777777" w:rsidR="00F70D4E" w:rsidRPr="005F511D" w:rsidRDefault="00F70D4E" w:rsidP="00C25A45">
      <w:pPr>
        <w:spacing w:after="0"/>
        <w:rPr>
          <w:lang w:val="en-GB"/>
        </w:rPr>
      </w:pPr>
    </w:p>
    <w:p w14:paraId="4670FC5E" w14:textId="78061A53" w:rsidR="00C25A45" w:rsidRPr="003B09CE" w:rsidRDefault="00C25A45" w:rsidP="003B09CE">
      <w:pPr>
        <w:rPr>
          <w:b/>
          <w:lang w:val="en-GB"/>
        </w:rPr>
      </w:pPr>
      <w:r w:rsidRPr="003B09CE">
        <w:rPr>
          <w:b/>
          <w:lang w:val="en-GB"/>
        </w:rPr>
        <w:t>TIA</w:t>
      </w:r>
      <w:r w:rsidR="007A55D2" w:rsidRPr="003B09CE">
        <w:rPr>
          <w:b/>
          <w:lang w:val="en-GB"/>
        </w:rPr>
        <w:t xml:space="preserve"> must:</w:t>
      </w:r>
    </w:p>
    <w:p w14:paraId="778E855A" w14:textId="403DB930" w:rsidR="00C25A45" w:rsidRPr="00666F8F" w:rsidRDefault="00BE60EB" w:rsidP="007634FD">
      <w:pPr>
        <w:pStyle w:val="ListParagraph"/>
        <w:numPr>
          <w:ilvl w:val="0"/>
          <w:numId w:val="13"/>
        </w:numPr>
        <w:rPr>
          <w:b/>
          <w:lang w:val="en-GB"/>
        </w:rPr>
      </w:pPr>
      <w:r>
        <w:rPr>
          <w:lang w:val="en-GB"/>
        </w:rPr>
        <w:t xml:space="preserve">pay </w:t>
      </w:r>
      <w:r w:rsidR="00C25A45" w:rsidRPr="00666F8F">
        <w:rPr>
          <w:lang w:val="en-GB"/>
        </w:rPr>
        <w:t>invoice</w:t>
      </w:r>
      <w:r>
        <w:rPr>
          <w:lang w:val="en-GB"/>
        </w:rPr>
        <w:t>s</w:t>
      </w:r>
      <w:r w:rsidR="00C25A45" w:rsidRPr="00666F8F">
        <w:rPr>
          <w:lang w:val="en-GB"/>
        </w:rPr>
        <w:t xml:space="preserve"> submitted by the named Provider </w:t>
      </w:r>
      <w:r>
        <w:rPr>
          <w:lang w:val="en-GB"/>
        </w:rPr>
        <w:t xml:space="preserve">totalling either </w:t>
      </w:r>
      <w:r w:rsidR="00C70952">
        <w:rPr>
          <w:lang w:val="en-GB"/>
        </w:rPr>
        <w:t>$</w:t>
      </w:r>
      <w:r w:rsidR="007E7727" w:rsidRPr="00666F8F">
        <w:rPr>
          <w:lang w:val="en-GB"/>
        </w:rPr>
        <w:t>20</w:t>
      </w:r>
      <w:r w:rsidR="007E7727">
        <w:rPr>
          <w:lang w:val="en-GB"/>
        </w:rPr>
        <w:t>,000</w:t>
      </w:r>
      <w:r w:rsidR="007E7727" w:rsidRPr="00666F8F">
        <w:rPr>
          <w:lang w:val="en-GB"/>
        </w:rPr>
        <w:t xml:space="preserve"> </w:t>
      </w:r>
      <w:r w:rsidR="00C83FE2" w:rsidRPr="00C70952">
        <w:rPr>
          <w:lang w:val="en-GB"/>
        </w:rPr>
        <w:t>ex GST</w:t>
      </w:r>
      <w:r w:rsidR="007E7727" w:rsidRPr="00C70952">
        <w:rPr>
          <w:lang w:val="en-GB"/>
        </w:rPr>
        <w:t xml:space="preserve"> or $50,000 </w:t>
      </w:r>
      <w:r w:rsidR="00C83FE2" w:rsidRPr="00C70952">
        <w:rPr>
          <w:lang w:val="en-GB"/>
        </w:rPr>
        <w:t xml:space="preserve">ex GST </w:t>
      </w:r>
      <w:r w:rsidRPr="00C70952">
        <w:rPr>
          <w:lang w:val="en-GB"/>
        </w:rPr>
        <w:t>(depending on the voucher value)</w:t>
      </w:r>
      <w:r w:rsidR="00C25A45" w:rsidRPr="00C70952">
        <w:rPr>
          <w:lang w:val="en-GB"/>
        </w:rPr>
        <w:t xml:space="preserve"> </w:t>
      </w:r>
      <w:r w:rsidR="00205985" w:rsidRPr="00C70952">
        <w:rPr>
          <w:lang w:val="en-GB"/>
        </w:rPr>
        <w:t>once</w:t>
      </w:r>
      <w:r w:rsidR="00587BDD" w:rsidRPr="00C70952">
        <w:rPr>
          <w:lang w:val="en-GB"/>
        </w:rPr>
        <w:t xml:space="preserve"> </w:t>
      </w:r>
      <w:r w:rsidR="00B50D25" w:rsidRPr="00C70952">
        <w:rPr>
          <w:lang w:val="en-GB"/>
        </w:rPr>
        <w:t xml:space="preserve">the Applicant and Provider meet </w:t>
      </w:r>
      <w:r w:rsidR="00C25A45" w:rsidRPr="00C70952">
        <w:rPr>
          <w:lang w:val="en-GB"/>
        </w:rPr>
        <w:t>certain</w:t>
      </w:r>
      <w:r w:rsidR="00C25A45" w:rsidRPr="00666F8F">
        <w:rPr>
          <w:lang w:val="en-GB"/>
        </w:rPr>
        <w:t xml:space="preserve"> </w:t>
      </w:r>
      <w:r w:rsidR="00B50D25">
        <w:rPr>
          <w:lang w:val="en-GB"/>
        </w:rPr>
        <w:t xml:space="preserve">obligations </w:t>
      </w:r>
      <w:r w:rsidR="00C25A45" w:rsidRPr="00666F8F">
        <w:rPr>
          <w:lang w:val="en-GB"/>
        </w:rPr>
        <w:t>to the satisfaction of TIA (see below). </w:t>
      </w:r>
    </w:p>
    <w:p w14:paraId="319EBA6B" w14:textId="77777777" w:rsidR="00C25A45" w:rsidRDefault="00C25A45" w:rsidP="00C25A45">
      <w:pPr>
        <w:pStyle w:val="ListParagraph"/>
        <w:rPr>
          <w:b/>
          <w:lang w:val="en-GB"/>
        </w:rPr>
      </w:pPr>
    </w:p>
    <w:p w14:paraId="316263ED" w14:textId="5281B0B6" w:rsidR="00C25A45" w:rsidRPr="003B09CE" w:rsidRDefault="00F70D4E" w:rsidP="003B09CE">
      <w:pPr>
        <w:rPr>
          <w:b/>
          <w:lang w:val="en-GB"/>
        </w:rPr>
      </w:pPr>
      <w:r w:rsidRPr="003B09CE">
        <w:rPr>
          <w:b/>
          <w:lang w:val="en-GB"/>
        </w:rPr>
        <w:t xml:space="preserve">The </w:t>
      </w:r>
      <w:r w:rsidR="00C25A45" w:rsidRPr="003B09CE">
        <w:rPr>
          <w:b/>
          <w:lang w:val="en-GB"/>
        </w:rPr>
        <w:t>Applicant</w:t>
      </w:r>
      <w:r w:rsidRPr="003B09CE">
        <w:rPr>
          <w:b/>
          <w:lang w:val="en-GB"/>
        </w:rPr>
        <w:t xml:space="preserve"> must:</w:t>
      </w:r>
    </w:p>
    <w:p w14:paraId="4C91A106" w14:textId="3D5FF450" w:rsidR="00F8328F" w:rsidRPr="00BE60EB" w:rsidRDefault="00F8328F" w:rsidP="007634FD">
      <w:pPr>
        <w:pStyle w:val="ListParagraph"/>
        <w:numPr>
          <w:ilvl w:val="0"/>
          <w:numId w:val="13"/>
        </w:numPr>
        <w:spacing w:after="0"/>
        <w:rPr>
          <w:lang w:val="en-GB"/>
        </w:rPr>
      </w:pPr>
      <w:r w:rsidRPr="00BE60EB">
        <w:rPr>
          <w:lang w:val="en-GB"/>
        </w:rPr>
        <w:t xml:space="preserve">co-sign </w:t>
      </w:r>
      <w:r>
        <w:rPr>
          <w:lang w:val="en-GB"/>
        </w:rPr>
        <w:t xml:space="preserve">with </w:t>
      </w:r>
      <w:r w:rsidR="00205985">
        <w:rPr>
          <w:lang w:val="en-GB"/>
        </w:rPr>
        <w:t xml:space="preserve">the </w:t>
      </w:r>
      <w:r>
        <w:rPr>
          <w:lang w:val="en-GB"/>
        </w:rPr>
        <w:t xml:space="preserve">Provider </w:t>
      </w:r>
      <w:r w:rsidRPr="00BE60EB">
        <w:rPr>
          <w:lang w:val="en-GB"/>
        </w:rPr>
        <w:t>the received letter of offer and return to indicate agreement with the terms</w:t>
      </w:r>
    </w:p>
    <w:p w14:paraId="26A058C3" w14:textId="52677923" w:rsidR="00C25A45" w:rsidRPr="00BE60EB" w:rsidRDefault="00C25A45" w:rsidP="007634FD">
      <w:pPr>
        <w:pStyle w:val="ListParagraph"/>
        <w:numPr>
          <w:ilvl w:val="0"/>
          <w:numId w:val="13"/>
        </w:numPr>
        <w:rPr>
          <w:lang w:val="en-GB"/>
        </w:rPr>
      </w:pPr>
      <w:r w:rsidRPr="00666F8F">
        <w:rPr>
          <w:lang w:val="en-GB"/>
        </w:rPr>
        <w:t xml:space="preserve">enter into a legally binding agreement with </w:t>
      </w:r>
      <w:r>
        <w:rPr>
          <w:lang w:val="en-GB"/>
        </w:rPr>
        <w:t xml:space="preserve">the </w:t>
      </w:r>
      <w:r w:rsidRPr="00666F8F">
        <w:rPr>
          <w:lang w:val="en-GB"/>
        </w:rPr>
        <w:t>Provider</w:t>
      </w:r>
      <w:r>
        <w:rPr>
          <w:lang w:val="en-GB"/>
        </w:rPr>
        <w:t xml:space="preserve"> </w:t>
      </w:r>
      <w:r w:rsidR="009A5D2E">
        <w:rPr>
          <w:lang w:val="en-GB"/>
        </w:rPr>
        <w:t>(</w:t>
      </w:r>
      <w:r w:rsidR="009A5D2E" w:rsidRPr="009A5D2E">
        <w:rPr>
          <w:b/>
          <w:bCs/>
          <w:u w:val="single"/>
          <w:lang w:val="en-GB"/>
        </w:rPr>
        <w:t>NOT</w:t>
      </w:r>
      <w:r w:rsidR="009A5D2E">
        <w:rPr>
          <w:lang w:val="en-GB"/>
        </w:rPr>
        <w:t xml:space="preserve"> with TIA) </w:t>
      </w:r>
      <w:r>
        <w:rPr>
          <w:lang w:val="en-GB"/>
        </w:rPr>
        <w:t>to provide payment for access to capabilities specified in the Application</w:t>
      </w:r>
      <w:r w:rsidR="00BE60EB" w:rsidRPr="00666F8F">
        <w:rPr>
          <w:lang w:val="en-GB"/>
        </w:rPr>
        <w:t xml:space="preserve"> (</w:t>
      </w:r>
      <w:r w:rsidR="00BE60EB" w:rsidRPr="00BE60EB">
        <w:rPr>
          <w:i/>
          <w:lang w:val="en-GB"/>
        </w:rPr>
        <w:t>note</w:t>
      </w:r>
      <w:r w:rsidR="00BE60EB" w:rsidRPr="00666F8F">
        <w:rPr>
          <w:lang w:val="en-GB"/>
        </w:rPr>
        <w:t xml:space="preserve">: TIA </w:t>
      </w:r>
      <w:r w:rsidR="00BE60EB">
        <w:rPr>
          <w:lang w:val="en-GB"/>
        </w:rPr>
        <w:t xml:space="preserve">does not require sight of </w:t>
      </w:r>
      <w:r w:rsidR="00BE60EB" w:rsidRPr="00666F8F">
        <w:rPr>
          <w:lang w:val="en-GB"/>
        </w:rPr>
        <w:t>the contract</w:t>
      </w:r>
      <w:r w:rsidR="009A5D2E">
        <w:rPr>
          <w:lang w:val="en-GB"/>
        </w:rPr>
        <w:t>, but requires written confirmation that such a contract exists</w:t>
      </w:r>
      <w:r w:rsidR="00455759">
        <w:rPr>
          <w:lang w:val="en-GB"/>
        </w:rPr>
        <w:t xml:space="preserve"> in the Letter of Commencement</w:t>
      </w:r>
      <w:r w:rsidR="00BE60EB" w:rsidRPr="00666F8F">
        <w:rPr>
          <w:lang w:val="en-GB"/>
        </w:rPr>
        <w:t>)</w:t>
      </w:r>
    </w:p>
    <w:p w14:paraId="77C02159" w14:textId="2BCE5B65" w:rsidR="00F8328F" w:rsidRPr="00666F8F" w:rsidRDefault="00F8328F" w:rsidP="007634FD">
      <w:pPr>
        <w:pStyle w:val="ListParagraph"/>
        <w:numPr>
          <w:ilvl w:val="0"/>
          <w:numId w:val="13"/>
        </w:numPr>
        <w:rPr>
          <w:lang w:val="en-GB"/>
        </w:rPr>
      </w:pPr>
      <w:r>
        <w:rPr>
          <w:lang w:val="en-GB"/>
        </w:rPr>
        <w:t xml:space="preserve">co-sign a </w:t>
      </w:r>
      <w:r w:rsidRPr="00455759">
        <w:rPr>
          <w:b/>
          <w:bCs/>
          <w:lang w:val="en-GB"/>
        </w:rPr>
        <w:t>Letter of Commencement</w:t>
      </w:r>
      <w:r>
        <w:rPr>
          <w:lang w:val="en-GB"/>
        </w:rPr>
        <w:t xml:space="preserve"> with the Provider, confirming that work has commenced. A template Letter of Commencement is </w:t>
      </w:r>
      <w:r w:rsidR="00587BDD">
        <w:rPr>
          <w:lang w:val="en-GB"/>
        </w:rPr>
        <w:t xml:space="preserve">available for download </w:t>
      </w:r>
      <w:r w:rsidR="00B9731E">
        <w:rPr>
          <w:lang w:val="en-GB"/>
        </w:rPr>
        <w:t xml:space="preserve">on the scheme’s </w:t>
      </w:r>
      <w:hyperlink r:id="rId47" w:history="1">
        <w:r w:rsidR="00B9731E" w:rsidRPr="00B9731E">
          <w:rPr>
            <w:rStyle w:val="Hyperlink"/>
            <w:lang w:val="en-GB"/>
          </w:rPr>
          <w:t>webpage</w:t>
        </w:r>
      </w:hyperlink>
      <w:r>
        <w:rPr>
          <w:lang w:val="en-GB"/>
        </w:rPr>
        <w:t>.</w:t>
      </w:r>
    </w:p>
    <w:p w14:paraId="60E104DE" w14:textId="77777777" w:rsidR="00780A7A" w:rsidRDefault="00C25A45" w:rsidP="007634FD">
      <w:pPr>
        <w:pStyle w:val="ListParagraph"/>
        <w:numPr>
          <w:ilvl w:val="0"/>
          <w:numId w:val="13"/>
        </w:numPr>
        <w:rPr>
          <w:lang w:val="en-GB"/>
        </w:rPr>
      </w:pPr>
      <w:r w:rsidRPr="00666F8F">
        <w:rPr>
          <w:lang w:val="en-GB"/>
        </w:rPr>
        <w:t xml:space="preserve">provide brief </w:t>
      </w:r>
      <w:r>
        <w:rPr>
          <w:lang w:val="en-GB"/>
        </w:rPr>
        <w:t xml:space="preserve">(&lt;1 page) </w:t>
      </w:r>
      <w:r w:rsidRPr="00666F8F">
        <w:rPr>
          <w:lang w:val="en-GB"/>
        </w:rPr>
        <w:t xml:space="preserve">reports on project progress according to a reporting schedule </w:t>
      </w:r>
      <w:r w:rsidR="009A5D2E">
        <w:rPr>
          <w:lang w:val="en-GB"/>
        </w:rPr>
        <w:t xml:space="preserve">agreed with </w:t>
      </w:r>
      <w:r w:rsidRPr="00666F8F">
        <w:rPr>
          <w:lang w:val="en-GB"/>
        </w:rPr>
        <w:t>TIA</w:t>
      </w:r>
      <w:r>
        <w:rPr>
          <w:lang w:val="en-GB"/>
        </w:rPr>
        <w:t>.</w:t>
      </w:r>
    </w:p>
    <w:p w14:paraId="7079E643" w14:textId="0ACAEBD8" w:rsidR="00C25A45" w:rsidRPr="00666F8F" w:rsidRDefault="00780A7A" w:rsidP="007634FD">
      <w:pPr>
        <w:pStyle w:val="ListParagraph"/>
        <w:numPr>
          <w:ilvl w:val="0"/>
          <w:numId w:val="13"/>
        </w:numPr>
        <w:rPr>
          <w:lang w:val="en-GB"/>
        </w:rPr>
      </w:pPr>
      <w:r>
        <w:rPr>
          <w:lang w:val="en-GB"/>
        </w:rPr>
        <w:t xml:space="preserve">provide a </w:t>
      </w:r>
      <w:r w:rsidRPr="00780A7A">
        <w:rPr>
          <w:b/>
          <w:bCs/>
          <w:lang w:val="en-GB"/>
        </w:rPr>
        <w:t>Letter of Completion</w:t>
      </w:r>
      <w:r>
        <w:rPr>
          <w:lang w:val="en-GB"/>
        </w:rPr>
        <w:t xml:space="preserve"> including a brief final report that describes the overall outcomes.</w:t>
      </w:r>
      <w:r w:rsidR="00B9731E">
        <w:rPr>
          <w:lang w:val="en-GB"/>
        </w:rPr>
        <w:t xml:space="preserve"> A template Letter of Completion is available for download on the scheme’s </w:t>
      </w:r>
      <w:hyperlink r:id="rId48" w:history="1">
        <w:r w:rsidR="00B9731E" w:rsidRPr="00B9731E">
          <w:rPr>
            <w:rStyle w:val="Hyperlink"/>
            <w:lang w:val="en-GB"/>
          </w:rPr>
          <w:t>webpage</w:t>
        </w:r>
      </w:hyperlink>
      <w:r w:rsidR="00B9731E">
        <w:rPr>
          <w:lang w:val="en-GB"/>
        </w:rPr>
        <w:t>.</w:t>
      </w:r>
    </w:p>
    <w:p w14:paraId="13711E75" w14:textId="77777777" w:rsidR="00C25A45" w:rsidRDefault="00C25A45" w:rsidP="00C25A45">
      <w:pPr>
        <w:pStyle w:val="ListParagraph"/>
        <w:rPr>
          <w:b/>
          <w:lang w:val="en-GB"/>
        </w:rPr>
      </w:pPr>
    </w:p>
    <w:p w14:paraId="75AA2B6B" w14:textId="39559FD9" w:rsidR="00C25A45" w:rsidRPr="003B09CE" w:rsidRDefault="00F70D4E" w:rsidP="003B09CE">
      <w:pPr>
        <w:rPr>
          <w:b/>
          <w:lang w:val="en-GB"/>
        </w:rPr>
      </w:pPr>
      <w:r w:rsidRPr="003B09CE">
        <w:rPr>
          <w:b/>
          <w:lang w:val="en-GB"/>
        </w:rPr>
        <w:t xml:space="preserve">The </w:t>
      </w:r>
      <w:r w:rsidR="00C25A45" w:rsidRPr="003B09CE">
        <w:rPr>
          <w:b/>
          <w:lang w:val="en-GB"/>
        </w:rPr>
        <w:t>Provider</w:t>
      </w:r>
      <w:r w:rsidRPr="003B09CE">
        <w:rPr>
          <w:b/>
          <w:lang w:val="en-GB"/>
        </w:rPr>
        <w:t xml:space="preserve"> must:</w:t>
      </w:r>
    </w:p>
    <w:p w14:paraId="18F9671E" w14:textId="05E42750" w:rsidR="00F8328F" w:rsidRPr="00BE60EB" w:rsidRDefault="00F8328F" w:rsidP="007634FD">
      <w:pPr>
        <w:pStyle w:val="ListParagraph"/>
        <w:numPr>
          <w:ilvl w:val="0"/>
          <w:numId w:val="13"/>
        </w:numPr>
        <w:spacing w:after="0"/>
        <w:rPr>
          <w:lang w:val="en-GB"/>
        </w:rPr>
      </w:pPr>
      <w:r w:rsidRPr="00BE60EB">
        <w:rPr>
          <w:lang w:val="en-GB"/>
        </w:rPr>
        <w:t xml:space="preserve">co-sign </w:t>
      </w:r>
      <w:r>
        <w:rPr>
          <w:lang w:val="en-GB"/>
        </w:rPr>
        <w:t>with</w:t>
      </w:r>
      <w:r w:rsidR="00205985">
        <w:rPr>
          <w:lang w:val="en-GB"/>
        </w:rPr>
        <w:t xml:space="preserve"> the </w:t>
      </w:r>
      <w:r>
        <w:rPr>
          <w:lang w:val="en-GB"/>
        </w:rPr>
        <w:t xml:space="preserve">Applicant </w:t>
      </w:r>
      <w:r w:rsidRPr="00BE60EB">
        <w:rPr>
          <w:lang w:val="en-GB"/>
        </w:rPr>
        <w:t>the received letter of offer and return to indicate agreement with the terms</w:t>
      </w:r>
      <w:r w:rsidR="003154B1">
        <w:rPr>
          <w:lang w:val="en-GB"/>
        </w:rPr>
        <w:t>.</w:t>
      </w:r>
    </w:p>
    <w:p w14:paraId="1C509B90" w14:textId="388C4A34" w:rsidR="00C25A45" w:rsidRDefault="00C25A45" w:rsidP="007634FD">
      <w:pPr>
        <w:pStyle w:val="ListParagraph"/>
        <w:numPr>
          <w:ilvl w:val="0"/>
          <w:numId w:val="13"/>
        </w:numPr>
        <w:rPr>
          <w:lang w:val="en-GB"/>
        </w:rPr>
      </w:pPr>
      <w:r w:rsidRPr="00666F8F">
        <w:rPr>
          <w:lang w:val="en-GB"/>
        </w:rPr>
        <w:t xml:space="preserve">enter into a legally binding agreement with </w:t>
      </w:r>
      <w:r w:rsidR="005B44F3">
        <w:rPr>
          <w:lang w:val="en-GB"/>
        </w:rPr>
        <w:t xml:space="preserve">the </w:t>
      </w:r>
      <w:r w:rsidRPr="00666F8F">
        <w:rPr>
          <w:lang w:val="en-GB"/>
        </w:rPr>
        <w:t xml:space="preserve">Applicant </w:t>
      </w:r>
      <w:r w:rsidR="00455759">
        <w:rPr>
          <w:lang w:val="en-GB"/>
        </w:rPr>
        <w:t>(</w:t>
      </w:r>
      <w:r w:rsidR="00455759" w:rsidRPr="009A5D2E">
        <w:rPr>
          <w:b/>
          <w:bCs/>
          <w:u w:val="single"/>
          <w:lang w:val="en-GB"/>
        </w:rPr>
        <w:t>NOT</w:t>
      </w:r>
      <w:r w:rsidR="00455759">
        <w:rPr>
          <w:lang w:val="en-GB"/>
        </w:rPr>
        <w:t xml:space="preserve"> with TIA) </w:t>
      </w:r>
      <w:r w:rsidRPr="00666F8F">
        <w:rPr>
          <w:lang w:val="en-GB"/>
        </w:rPr>
        <w:t>to provide specific capabilities in exchange for payment</w:t>
      </w:r>
      <w:r w:rsidR="00F8328F">
        <w:rPr>
          <w:lang w:val="en-GB"/>
        </w:rPr>
        <w:t>. The final quoted cost should include subsidy from the awarded voucher.</w:t>
      </w:r>
    </w:p>
    <w:p w14:paraId="350A5864" w14:textId="2C254C85" w:rsidR="00F8328F" w:rsidRPr="00666F8F" w:rsidRDefault="00F8328F" w:rsidP="007634FD">
      <w:pPr>
        <w:pStyle w:val="ListParagraph"/>
        <w:numPr>
          <w:ilvl w:val="0"/>
          <w:numId w:val="13"/>
        </w:numPr>
        <w:rPr>
          <w:lang w:val="en-GB"/>
        </w:rPr>
      </w:pPr>
      <w:r>
        <w:rPr>
          <w:lang w:val="en-GB"/>
        </w:rPr>
        <w:t>co-sign</w:t>
      </w:r>
      <w:r w:rsidR="00B9731E">
        <w:rPr>
          <w:lang w:val="en-GB"/>
        </w:rPr>
        <w:t xml:space="preserve"> a</w:t>
      </w:r>
      <w:r>
        <w:rPr>
          <w:lang w:val="en-GB"/>
        </w:rPr>
        <w:t xml:space="preserve"> </w:t>
      </w:r>
      <w:r w:rsidRPr="00455759">
        <w:rPr>
          <w:b/>
          <w:bCs/>
          <w:lang w:val="en-GB"/>
        </w:rPr>
        <w:t>Letter of Commencement</w:t>
      </w:r>
      <w:r>
        <w:rPr>
          <w:lang w:val="en-GB"/>
        </w:rPr>
        <w:t xml:space="preserve"> </w:t>
      </w:r>
      <w:r w:rsidR="00B9731E">
        <w:rPr>
          <w:lang w:val="en-GB"/>
        </w:rPr>
        <w:t xml:space="preserve">and a </w:t>
      </w:r>
      <w:r w:rsidR="00B9731E" w:rsidRPr="00D1299D">
        <w:rPr>
          <w:b/>
          <w:bCs/>
          <w:lang w:val="en-GB"/>
        </w:rPr>
        <w:t>Letter of Completion</w:t>
      </w:r>
      <w:r w:rsidR="00B9731E">
        <w:rPr>
          <w:lang w:val="en-GB"/>
        </w:rPr>
        <w:t xml:space="preserve"> </w:t>
      </w:r>
      <w:r>
        <w:rPr>
          <w:lang w:val="en-GB"/>
        </w:rPr>
        <w:t>with the Applicant,</w:t>
      </w:r>
      <w:r w:rsidR="00B9731E">
        <w:rPr>
          <w:lang w:val="en-GB"/>
        </w:rPr>
        <w:t xml:space="preserve"> as described above</w:t>
      </w:r>
      <w:r>
        <w:rPr>
          <w:lang w:val="en-GB"/>
        </w:rPr>
        <w:t>.</w:t>
      </w:r>
    </w:p>
    <w:p w14:paraId="630D27BE" w14:textId="4958E3E7" w:rsidR="00A3604A" w:rsidRPr="00A3604A" w:rsidRDefault="00A3604A" w:rsidP="007634FD">
      <w:pPr>
        <w:pStyle w:val="ListParagraph"/>
        <w:numPr>
          <w:ilvl w:val="0"/>
          <w:numId w:val="13"/>
        </w:numPr>
        <w:spacing w:after="0"/>
        <w:rPr>
          <w:lang w:val="en-GB"/>
        </w:rPr>
      </w:pPr>
      <w:r w:rsidRPr="00A3604A">
        <w:rPr>
          <w:lang w:val="en-GB"/>
        </w:rPr>
        <w:t xml:space="preserve">Ordinarily, TIA would expect the project to commence within </w:t>
      </w:r>
      <w:r w:rsidR="00B10F46">
        <w:rPr>
          <w:u w:val="single"/>
          <w:lang w:val="en-GB"/>
        </w:rPr>
        <w:t>6</w:t>
      </w:r>
      <w:r w:rsidRPr="00A3604A">
        <w:rPr>
          <w:u w:val="single"/>
          <w:lang w:val="en-GB"/>
        </w:rPr>
        <w:t xml:space="preserve"> month</w:t>
      </w:r>
      <w:r w:rsidRPr="00A3604A">
        <w:rPr>
          <w:lang w:val="en-GB"/>
        </w:rPr>
        <w:t xml:space="preserve">s of award of the voucher. Because of the nature of this scheme, </w:t>
      </w:r>
      <w:r w:rsidRPr="00A3604A">
        <w:rPr>
          <w:b/>
          <w:bCs/>
          <w:i/>
          <w:iCs/>
          <w:lang w:val="en-GB"/>
        </w:rPr>
        <w:t xml:space="preserve">offers may be withdrawn if projects do not commence within </w:t>
      </w:r>
      <w:r w:rsidR="00B10F46">
        <w:rPr>
          <w:b/>
          <w:bCs/>
          <w:i/>
          <w:iCs/>
          <w:lang w:val="en-GB"/>
        </w:rPr>
        <w:t>six</w:t>
      </w:r>
      <w:r w:rsidRPr="00A3604A">
        <w:rPr>
          <w:b/>
          <w:bCs/>
          <w:i/>
          <w:iCs/>
          <w:lang w:val="en-GB"/>
        </w:rPr>
        <w:t xml:space="preserve"> months of award without a reasonable explanation</w:t>
      </w:r>
      <w:r w:rsidRPr="00A3604A">
        <w:rPr>
          <w:lang w:val="en-GB"/>
        </w:rPr>
        <w:t>.</w:t>
      </w:r>
    </w:p>
    <w:p w14:paraId="0D38F9D7" w14:textId="1A240C71" w:rsidR="00F8328F" w:rsidRDefault="00F8328F" w:rsidP="007634FD">
      <w:pPr>
        <w:pStyle w:val="ListParagraph"/>
        <w:numPr>
          <w:ilvl w:val="0"/>
          <w:numId w:val="13"/>
        </w:numPr>
        <w:spacing w:after="0"/>
        <w:rPr>
          <w:lang w:val="en-GB"/>
        </w:rPr>
      </w:pPr>
      <w:r>
        <w:rPr>
          <w:lang w:val="en-GB"/>
        </w:rPr>
        <w:t>submit</w:t>
      </w:r>
      <w:r w:rsidRPr="00BE60EB">
        <w:rPr>
          <w:lang w:val="en-GB"/>
        </w:rPr>
        <w:t xml:space="preserve"> </w:t>
      </w:r>
      <w:r>
        <w:rPr>
          <w:lang w:val="en-GB"/>
        </w:rPr>
        <w:t xml:space="preserve">an </w:t>
      </w:r>
      <w:r w:rsidRPr="00BE60EB">
        <w:rPr>
          <w:lang w:val="en-GB"/>
        </w:rPr>
        <w:t>invoice to TIA for part-reimbursement for the services as described in the quotation</w:t>
      </w:r>
      <w:r w:rsidR="00205985">
        <w:rPr>
          <w:lang w:val="en-GB"/>
        </w:rPr>
        <w:t xml:space="preserve"> to the value of the awarded voucher</w:t>
      </w:r>
      <w:r w:rsidRPr="00BE60EB">
        <w:rPr>
          <w:lang w:val="en-GB"/>
        </w:rPr>
        <w:t>.</w:t>
      </w:r>
    </w:p>
    <w:p w14:paraId="5B6CA82C" w14:textId="2A226E09" w:rsidR="00C25A45" w:rsidRPr="00666F8F" w:rsidRDefault="00C25A45" w:rsidP="007634FD">
      <w:pPr>
        <w:pStyle w:val="ListParagraph"/>
        <w:numPr>
          <w:ilvl w:val="0"/>
          <w:numId w:val="13"/>
        </w:numPr>
        <w:rPr>
          <w:lang w:val="en-GB"/>
        </w:rPr>
      </w:pPr>
      <w:r w:rsidRPr="00666F8F">
        <w:rPr>
          <w:lang w:val="en-GB"/>
        </w:rPr>
        <w:t xml:space="preserve">provide the services </w:t>
      </w:r>
      <w:r>
        <w:rPr>
          <w:lang w:val="en-GB"/>
        </w:rPr>
        <w:t>as described in the</w:t>
      </w:r>
      <w:r w:rsidRPr="00666F8F">
        <w:rPr>
          <w:lang w:val="en-GB"/>
        </w:rPr>
        <w:t xml:space="preserve"> quotation</w:t>
      </w:r>
      <w:r w:rsidR="009A5D2E">
        <w:rPr>
          <w:lang w:val="en-GB"/>
        </w:rPr>
        <w:t xml:space="preserve"> within an agreed time window</w:t>
      </w:r>
      <w:r w:rsidR="003154B1">
        <w:rPr>
          <w:lang w:val="en-GB"/>
        </w:rPr>
        <w:t>.</w:t>
      </w:r>
    </w:p>
    <w:p w14:paraId="2CF9E9B5" w14:textId="6D9D8DB5" w:rsidR="00F73345" w:rsidRDefault="00F73345">
      <w:pPr>
        <w:spacing w:after="0"/>
        <w:rPr>
          <w:lang w:val="en-GB"/>
        </w:rPr>
      </w:pPr>
    </w:p>
    <w:p w14:paraId="069C1FAB" w14:textId="3A182E2C" w:rsidR="005F511D" w:rsidRPr="009065BF" w:rsidRDefault="210B7E85" w:rsidP="007634FD">
      <w:pPr>
        <w:pStyle w:val="ListParagraph"/>
        <w:keepNext/>
        <w:numPr>
          <w:ilvl w:val="0"/>
          <w:numId w:val="15"/>
        </w:numPr>
        <w:ind w:left="714" w:hanging="357"/>
        <w:rPr>
          <w:b/>
          <w:bCs/>
          <w:i/>
          <w:iCs/>
          <w:sz w:val="28"/>
          <w:szCs w:val="28"/>
          <w:lang w:val="en-GB"/>
        </w:rPr>
      </w:pPr>
      <w:r w:rsidRPr="210B7E85">
        <w:rPr>
          <w:b/>
          <w:bCs/>
          <w:i/>
          <w:iCs/>
          <w:sz w:val="28"/>
          <w:szCs w:val="28"/>
          <w:lang w:val="en-GB"/>
        </w:rPr>
        <w:t>Project commences</w:t>
      </w:r>
    </w:p>
    <w:p w14:paraId="7D21DD59" w14:textId="7B2CEBB9" w:rsidR="005F511D" w:rsidRPr="005F511D" w:rsidRDefault="008367F9" w:rsidP="005F511D">
      <w:pPr>
        <w:spacing w:after="0"/>
        <w:rPr>
          <w:lang w:val="en-GB"/>
        </w:rPr>
      </w:pPr>
      <w:r>
        <w:rPr>
          <w:lang w:val="en-GB"/>
        </w:rPr>
        <w:t xml:space="preserve">Once </w:t>
      </w:r>
      <w:r w:rsidR="00205985">
        <w:rPr>
          <w:lang w:val="en-GB"/>
        </w:rPr>
        <w:t xml:space="preserve">the </w:t>
      </w:r>
      <w:r>
        <w:rPr>
          <w:lang w:val="en-GB"/>
        </w:rPr>
        <w:t>Project ha</w:t>
      </w:r>
      <w:r w:rsidR="005F511D" w:rsidRPr="005F511D">
        <w:rPr>
          <w:lang w:val="en-GB"/>
        </w:rPr>
        <w:t xml:space="preserve">s </w:t>
      </w:r>
      <w:r>
        <w:rPr>
          <w:lang w:val="en-GB"/>
        </w:rPr>
        <w:t>commenced</w:t>
      </w:r>
      <w:r w:rsidR="005F511D" w:rsidRPr="005F511D">
        <w:rPr>
          <w:lang w:val="en-GB"/>
        </w:rPr>
        <w:t xml:space="preserve">, </w:t>
      </w:r>
      <w:r w:rsidR="00205985">
        <w:rPr>
          <w:lang w:val="en-GB"/>
        </w:rPr>
        <w:t xml:space="preserve">the </w:t>
      </w:r>
      <w:r w:rsidR="005F511D" w:rsidRPr="005F511D">
        <w:rPr>
          <w:lang w:val="en-GB"/>
        </w:rPr>
        <w:t xml:space="preserve">Provider is </w:t>
      </w:r>
      <w:r w:rsidR="00EE6A07">
        <w:rPr>
          <w:lang w:val="en-GB"/>
        </w:rPr>
        <w:t xml:space="preserve">directly </w:t>
      </w:r>
      <w:r w:rsidR="005F511D" w:rsidRPr="005F511D">
        <w:rPr>
          <w:lang w:val="en-GB"/>
        </w:rPr>
        <w:t xml:space="preserve">reimbursed by TIA according to the following conditions: </w:t>
      </w:r>
    </w:p>
    <w:p w14:paraId="17359978" w14:textId="206A39EB" w:rsidR="005F511D" w:rsidRPr="005F511D" w:rsidRDefault="005F511D" w:rsidP="007634FD">
      <w:pPr>
        <w:numPr>
          <w:ilvl w:val="0"/>
          <w:numId w:val="14"/>
        </w:numPr>
        <w:spacing w:after="0"/>
        <w:rPr>
          <w:lang w:val="en-GB"/>
        </w:rPr>
      </w:pPr>
      <w:r w:rsidRPr="002911FD">
        <w:rPr>
          <w:lang w:val="en-GB"/>
        </w:rPr>
        <w:lastRenderedPageBreak/>
        <w:t xml:space="preserve">The Provider has sent </w:t>
      </w:r>
      <w:r w:rsidRPr="002911FD">
        <w:rPr>
          <w:color w:val="000000" w:themeColor="text1"/>
          <w:lang w:val="en-GB"/>
        </w:rPr>
        <w:t xml:space="preserve">to TIA a </w:t>
      </w:r>
      <w:r w:rsidR="001D2A36" w:rsidRPr="002911FD">
        <w:rPr>
          <w:color w:val="000000" w:themeColor="text1"/>
          <w:lang w:val="en-GB"/>
        </w:rPr>
        <w:t xml:space="preserve">copy of a </w:t>
      </w:r>
      <w:r w:rsidRPr="002911FD">
        <w:rPr>
          <w:color w:val="000000" w:themeColor="text1"/>
          <w:lang w:val="en-GB"/>
        </w:rPr>
        <w:t xml:space="preserve">proper invoice for </w:t>
      </w:r>
      <w:r w:rsidR="009A5D2E" w:rsidRPr="002911FD">
        <w:rPr>
          <w:color w:val="000000" w:themeColor="text1"/>
          <w:lang w:val="en-GB"/>
        </w:rPr>
        <w:t xml:space="preserve">the awarded voucher value </w:t>
      </w:r>
      <w:r w:rsidR="00D9241D" w:rsidRPr="002911FD">
        <w:rPr>
          <w:color w:val="000000" w:themeColor="text1"/>
          <w:lang w:val="en-GB"/>
        </w:rPr>
        <w:t>ex</w:t>
      </w:r>
      <w:r w:rsidR="009A5D2E">
        <w:rPr>
          <w:color w:val="000000" w:themeColor="text1"/>
          <w:lang w:val="en-GB"/>
        </w:rPr>
        <w:t xml:space="preserve"> GST</w:t>
      </w:r>
      <w:r w:rsidRPr="003041F7">
        <w:rPr>
          <w:color w:val="000000" w:themeColor="text1"/>
          <w:lang w:val="en-GB"/>
        </w:rPr>
        <w:t>, that references the Project</w:t>
      </w:r>
      <w:r w:rsidR="00150FC2">
        <w:rPr>
          <w:color w:val="000000" w:themeColor="text1"/>
          <w:lang w:val="en-GB"/>
        </w:rPr>
        <w:t xml:space="preserve"> </w:t>
      </w:r>
      <w:r w:rsidRPr="003041F7">
        <w:rPr>
          <w:color w:val="000000" w:themeColor="text1"/>
          <w:lang w:val="en-GB"/>
        </w:rPr>
        <w:t xml:space="preserve">and the </w:t>
      </w:r>
      <w:r w:rsidRPr="005F511D">
        <w:rPr>
          <w:lang w:val="en-GB"/>
        </w:rPr>
        <w:t>Applicant</w:t>
      </w:r>
      <w:r w:rsidR="003154B1">
        <w:rPr>
          <w:lang w:val="en-GB"/>
        </w:rPr>
        <w:t>.</w:t>
      </w:r>
    </w:p>
    <w:p w14:paraId="7E4D4710" w14:textId="5C7C9BE1" w:rsidR="005F511D" w:rsidRPr="005F511D" w:rsidRDefault="005F511D" w:rsidP="007634FD">
      <w:pPr>
        <w:numPr>
          <w:ilvl w:val="0"/>
          <w:numId w:val="14"/>
        </w:numPr>
        <w:spacing w:after="0"/>
        <w:rPr>
          <w:lang w:val="en-GB"/>
        </w:rPr>
      </w:pPr>
      <w:r w:rsidRPr="005F511D">
        <w:rPr>
          <w:lang w:val="en-GB"/>
        </w:rPr>
        <w:t xml:space="preserve">The Invoice </w:t>
      </w:r>
      <w:r w:rsidR="009A5D2E">
        <w:rPr>
          <w:lang w:val="en-GB"/>
        </w:rPr>
        <w:t xml:space="preserve">must have </w:t>
      </w:r>
      <w:r w:rsidRPr="005F511D">
        <w:rPr>
          <w:lang w:val="en-GB"/>
        </w:rPr>
        <w:t>extended payment terms (60 days) to allow TIA to assess whether payment conditions have been met</w:t>
      </w:r>
      <w:r w:rsidR="003154B1">
        <w:rPr>
          <w:lang w:val="en-GB"/>
        </w:rPr>
        <w:t>.</w:t>
      </w:r>
    </w:p>
    <w:p w14:paraId="21A5E7E1" w14:textId="129B77A4" w:rsidR="005F511D" w:rsidRDefault="005F511D" w:rsidP="007634FD">
      <w:pPr>
        <w:numPr>
          <w:ilvl w:val="0"/>
          <w:numId w:val="14"/>
        </w:numPr>
        <w:spacing w:after="0"/>
        <w:rPr>
          <w:lang w:val="en-GB"/>
        </w:rPr>
      </w:pPr>
      <w:r w:rsidRPr="00150FC2">
        <w:rPr>
          <w:lang w:val="en-GB"/>
        </w:rPr>
        <w:t xml:space="preserve">The Invoice accompanies </w:t>
      </w:r>
      <w:r w:rsidRPr="00150FC2">
        <w:rPr>
          <w:b/>
          <w:bCs/>
          <w:lang w:val="en-GB"/>
        </w:rPr>
        <w:t>written </w:t>
      </w:r>
      <w:r w:rsidR="00EE6A07">
        <w:rPr>
          <w:b/>
          <w:bCs/>
          <w:lang w:val="en-GB"/>
        </w:rPr>
        <w:t xml:space="preserve">notice </w:t>
      </w:r>
      <w:r w:rsidRPr="00150FC2">
        <w:rPr>
          <w:lang w:val="en-GB"/>
        </w:rPr>
        <w:t xml:space="preserve">that the services have </w:t>
      </w:r>
      <w:r w:rsidR="008367F9" w:rsidRPr="00150FC2">
        <w:rPr>
          <w:lang w:val="en-GB"/>
        </w:rPr>
        <w:t>commenced</w:t>
      </w:r>
      <w:r w:rsidRPr="00150FC2">
        <w:rPr>
          <w:lang w:val="en-GB"/>
        </w:rPr>
        <w:t xml:space="preserve">. This proof </w:t>
      </w:r>
      <w:r w:rsidR="00150FC2" w:rsidRPr="00150FC2">
        <w:rPr>
          <w:lang w:val="en-GB"/>
        </w:rPr>
        <w:t>shall be</w:t>
      </w:r>
      <w:r w:rsidR="002D75EE">
        <w:rPr>
          <w:lang w:val="en-GB"/>
        </w:rPr>
        <w:t xml:space="preserve"> via</w:t>
      </w:r>
      <w:r w:rsidR="00150FC2" w:rsidRPr="00150FC2">
        <w:rPr>
          <w:lang w:val="en-GB"/>
        </w:rPr>
        <w:t xml:space="preserve"> a TIA-provided template </w:t>
      </w:r>
      <w:r w:rsidR="00150FC2" w:rsidRPr="00150FC2">
        <w:rPr>
          <w:b/>
          <w:lang w:val="en-GB"/>
        </w:rPr>
        <w:t>L</w:t>
      </w:r>
      <w:r w:rsidR="00146C15" w:rsidRPr="00150FC2">
        <w:rPr>
          <w:b/>
          <w:lang w:val="en-GB"/>
        </w:rPr>
        <w:t xml:space="preserve">etter </w:t>
      </w:r>
      <w:r w:rsidR="00150FC2" w:rsidRPr="00150FC2">
        <w:rPr>
          <w:b/>
          <w:lang w:val="en-GB"/>
        </w:rPr>
        <w:t>of Commencement</w:t>
      </w:r>
      <w:r w:rsidR="00150FC2" w:rsidRPr="00150FC2">
        <w:rPr>
          <w:lang w:val="en-GB"/>
        </w:rPr>
        <w:t xml:space="preserve"> </w:t>
      </w:r>
      <w:r w:rsidRPr="00150FC2">
        <w:rPr>
          <w:lang w:val="en-GB"/>
        </w:rPr>
        <w:t>from the Applicant (counter</w:t>
      </w:r>
      <w:r w:rsidR="00150FC2">
        <w:rPr>
          <w:lang w:val="en-GB"/>
        </w:rPr>
        <w:t>-</w:t>
      </w:r>
      <w:r w:rsidRPr="00150FC2">
        <w:rPr>
          <w:lang w:val="en-GB"/>
        </w:rPr>
        <w:t xml:space="preserve">signed by the Provider) </w:t>
      </w:r>
      <w:r w:rsidR="00E40B63" w:rsidRPr="00150FC2">
        <w:rPr>
          <w:lang w:val="en-GB"/>
        </w:rPr>
        <w:t>stating that the services have begun</w:t>
      </w:r>
      <w:r w:rsidR="00146C15" w:rsidRPr="00150FC2">
        <w:rPr>
          <w:lang w:val="en-GB"/>
        </w:rPr>
        <w:t>, and briefly outlining the capabilities being provided</w:t>
      </w:r>
      <w:r w:rsidR="00150FC2">
        <w:rPr>
          <w:lang w:val="en-GB"/>
        </w:rPr>
        <w:t>.</w:t>
      </w:r>
    </w:p>
    <w:p w14:paraId="06467D35" w14:textId="76130944" w:rsidR="00E40B63" w:rsidRDefault="00E40B63" w:rsidP="005F511D">
      <w:pPr>
        <w:spacing w:after="0"/>
        <w:rPr>
          <w:lang w:val="en-GB"/>
        </w:rPr>
      </w:pPr>
    </w:p>
    <w:p w14:paraId="69E0B47F" w14:textId="77777777" w:rsidR="00146C15" w:rsidRDefault="00146C15" w:rsidP="005F511D">
      <w:pPr>
        <w:spacing w:after="0"/>
        <w:rPr>
          <w:lang w:val="en-GB"/>
        </w:rPr>
      </w:pPr>
      <w:r>
        <w:rPr>
          <w:lang w:val="en-GB"/>
        </w:rPr>
        <w:t>Note:</w:t>
      </w:r>
    </w:p>
    <w:p w14:paraId="66E4CAC1" w14:textId="77777777" w:rsidR="00CF2121" w:rsidRDefault="00CF2121" w:rsidP="00CF2121">
      <w:pPr>
        <w:pStyle w:val="ListParagraph"/>
        <w:numPr>
          <w:ilvl w:val="0"/>
          <w:numId w:val="18"/>
        </w:numPr>
        <w:spacing w:after="0"/>
        <w:rPr>
          <w:lang w:val="en-GB"/>
        </w:rPr>
      </w:pPr>
      <w:r w:rsidRPr="00D636CC">
        <w:rPr>
          <w:lang w:val="en-GB"/>
        </w:rPr>
        <w:t>T</w:t>
      </w:r>
      <w:r>
        <w:rPr>
          <w:lang w:val="en-GB"/>
        </w:rPr>
        <w:t xml:space="preserve">he voucher awarded is </w:t>
      </w:r>
      <w:r w:rsidRPr="00D636CC">
        <w:rPr>
          <w:b/>
          <w:bCs/>
          <w:lang w:val="en-GB"/>
        </w:rPr>
        <w:t>not transferable</w:t>
      </w:r>
      <w:r>
        <w:rPr>
          <w:b/>
          <w:bCs/>
          <w:lang w:val="en-GB"/>
        </w:rPr>
        <w:t xml:space="preserve"> </w:t>
      </w:r>
      <w:r w:rsidRPr="00771EEA">
        <w:rPr>
          <w:lang w:val="en-GB"/>
        </w:rPr>
        <w:t>to</w:t>
      </w:r>
      <w:r>
        <w:rPr>
          <w:lang w:val="en-GB"/>
        </w:rPr>
        <w:t xml:space="preserve"> another project.</w:t>
      </w:r>
    </w:p>
    <w:p w14:paraId="72433CDB" w14:textId="77777777" w:rsidR="00CF2121" w:rsidRPr="00D636CC" w:rsidRDefault="00CF2121" w:rsidP="00CF2121">
      <w:pPr>
        <w:pStyle w:val="ListParagraph"/>
        <w:numPr>
          <w:ilvl w:val="0"/>
          <w:numId w:val="18"/>
        </w:numPr>
        <w:spacing w:after="0"/>
        <w:rPr>
          <w:lang w:val="en-GB"/>
        </w:rPr>
      </w:pPr>
      <w:r w:rsidRPr="00D636CC">
        <w:rPr>
          <w:lang w:val="en-GB"/>
        </w:rPr>
        <w:t xml:space="preserve">TIA </w:t>
      </w:r>
      <w:r w:rsidRPr="00D636CC">
        <w:rPr>
          <w:b/>
          <w:bCs/>
          <w:lang w:val="en-GB"/>
        </w:rPr>
        <w:t>does not</w:t>
      </w:r>
      <w:r w:rsidRPr="00D636CC">
        <w:rPr>
          <w:lang w:val="en-GB"/>
        </w:rPr>
        <w:t xml:space="preserve"> need to see the agreement between Provider and Applicant. </w:t>
      </w:r>
    </w:p>
    <w:p w14:paraId="1882893C" w14:textId="77777777" w:rsidR="00CF2121" w:rsidRPr="00A3604A" w:rsidRDefault="00CF2121" w:rsidP="00CF2121">
      <w:pPr>
        <w:pStyle w:val="ListParagraph"/>
        <w:numPr>
          <w:ilvl w:val="0"/>
          <w:numId w:val="18"/>
        </w:numPr>
        <w:spacing w:after="0"/>
        <w:rPr>
          <w:lang w:val="en-GB"/>
        </w:rPr>
      </w:pPr>
      <w:r w:rsidRPr="00A3604A">
        <w:rPr>
          <w:lang w:val="en-GB"/>
        </w:rPr>
        <w:t xml:space="preserve">TIA </w:t>
      </w:r>
      <w:r w:rsidRPr="00A3604A">
        <w:rPr>
          <w:b/>
          <w:bCs/>
          <w:lang w:val="en-GB"/>
        </w:rPr>
        <w:t xml:space="preserve">does not </w:t>
      </w:r>
      <w:r w:rsidRPr="00A3604A">
        <w:rPr>
          <w:bCs/>
          <w:lang w:val="en-GB"/>
        </w:rPr>
        <w:t>seek</w:t>
      </w:r>
      <w:r w:rsidRPr="00A3604A">
        <w:rPr>
          <w:lang w:val="en-GB"/>
        </w:rPr>
        <w:t> any ownership or beneficial interest in supported projects but reserves the right to receive brief project updates</w:t>
      </w:r>
      <w:r>
        <w:rPr>
          <w:lang w:val="en-GB"/>
        </w:rPr>
        <w:t xml:space="preserve"> (~1/2 page)</w:t>
      </w:r>
      <w:r w:rsidRPr="00A3604A">
        <w:rPr>
          <w:lang w:val="en-GB"/>
        </w:rPr>
        <w:t xml:space="preserve"> on request. </w:t>
      </w:r>
    </w:p>
    <w:p w14:paraId="62D77705" w14:textId="77777777" w:rsidR="00CF2121" w:rsidRDefault="00CF2121" w:rsidP="00CF2121">
      <w:pPr>
        <w:numPr>
          <w:ilvl w:val="0"/>
          <w:numId w:val="18"/>
        </w:numPr>
        <w:spacing w:after="0"/>
        <w:rPr>
          <w:lang w:val="en-GB"/>
        </w:rPr>
      </w:pPr>
      <w:r w:rsidRPr="00D43F1E">
        <w:rPr>
          <w:lang w:val="en-GB"/>
        </w:rPr>
        <w:t xml:space="preserve">In </w:t>
      </w:r>
      <w:r>
        <w:rPr>
          <w:lang w:val="en-GB"/>
        </w:rPr>
        <w:t xml:space="preserve">the event of early termination, the Provider must notify TIA in writing </w:t>
      </w:r>
      <w:r w:rsidRPr="003154B1">
        <w:rPr>
          <w:lang w:val="en-GB"/>
        </w:rPr>
        <w:t xml:space="preserve">at the earliest possible </w:t>
      </w:r>
      <w:r>
        <w:rPr>
          <w:lang w:val="en-GB"/>
        </w:rPr>
        <w:t>opportunity. Depending on the scenario, TIA will advise the Provider on the next steps.</w:t>
      </w:r>
    </w:p>
    <w:p w14:paraId="08F3CAB2" w14:textId="77777777" w:rsidR="006B293E" w:rsidRPr="00150FC2" w:rsidRDefault="006B293E" w:rsidP="006B293E">
      <w:pPr>
        <w:spacing w:after="0"/>
        <w:ind w:left="720"/>
        <w:rPr>
          <w:lang w:val="en-GB"/>
        </w:rPr>
      </w:pPr>
    </w:p>
    <w:p w14:paraId="199912D8" w14:textId="77777777" w:rsidR="00E40B63" w:rsidRPr="009065BF" w:rsidRDefault="00E40B63" w:rsidP="007634FD">
      <w:pPr>
        <w:pStyle w:val="ListParagraph"/>
        <w:keepNext/>
        <w:keepLines/>
        <w:numPr>
          <w:ilvl w:val="0"/>
          <w:numId w:val="15"/>
        </w:numPr>
        <w:spacing w:after="0"/>
        <w:rPr>
          <w:b/>
          <w:i/>
          <w:sz w:val="28"/>
          <w:szCs w:val="28"/>
          <w:lang w:val="en-GB"/>
        </w:rPr>
      </w:pPr>
      <w:r w:rsidRPr="009065BF">
        <w:rPr>
          <w:b/>
          <w:i/>
          <w:sz w:val="28"/>
          <w:szCs w:val="28"/>
          <w:lang w:val="en-GB"/>
        </w:rPr>
        <w:t>Project complete</w:t>
      </w:r>
    </w:p>
    <w:p w14:paraId="380AC209" w14:textId="6A0241A6" w:rsidR="00E40B63" w:rsidRDefault="00E40B63" w:rsidP="00150FC2">
      <w:pPr>
        <w:keepNext/>
        <w:keepLines/>
        <w:spacing w:after="0"/>
      </w:pPr>
    </w:p>
    <w:p w14:paraId="72A7F4E2" w14:textId="73A02F00" w:rsidR="00E40B63" w:rsidRPr="005F511D" w:rsidRDefault="00E40B63" w:rsidP="00150FC2">
      <w:pPr>
        <w:keepNext/>
        <w:keepLines/>
        <w:spacing w:after="0"/>
        <w:rPr>
          <w:lang w:val="en-GB"/>
        </w:rPr>
      </w:pPr>
      <w:r>
        <w:t xml:space="preserve">Once the work of the Provider is complete, </w:t>
      </w:r>
      <w:r w:rsidRPr="005F511D">
        <w:rPr>
          <w:lang w:val="en-GB"/>
        </w:rPr>
        <w:t xml:space="preserve">Provider </w:t>
      </w:r>
      <w:r w:rsidR="009A5D2E">
        <w:rPr>
          <w:lang w:val="en-GB"/>
        </w:rPr>
        <w:t xml:space="preserve">and Applicant must meet </w:t>
      </w:r>
      <w:r w:rsidRPr="005F511D">
        <w:rPr>
          <w:lang w:val="en-GB"/>
        </w:rPr>
        <w:t xml:space="preserve">the following conditions: </w:t>
      </w:r>
    </w:p>
    <w:p w14:paraId="7D52C754" w14:textId="2BBD4003" w:rsidR="00E40B63" w:rsidRPr="009A5D2E" w:rsidRDefault="00146C15" w:rsidP="007634FD">
      <w:pPr>
        <w:numPr>
          <w:ilvl w:val="0"/>
          <w:numId w:val="14"/>
        </w:numPr>
        <w:spacing w:after="0"/>
        <w:rPr>
          <w:lang w:val="en-GB"/>
        </w:rPr>
      </w:pPr>
      <w:r w:rsidRPr="009A5D2E">
        <w:rPr>
          <w:lang w:val="en-GB"/>
        </w:rPr>
        <w:t xml:space="preserve">The Applicant and Provider have provided </w:t>
      </w:r>
      <w:r w:rsidRPr="009A5D2E">
        <w:rPr>
          <w:b/>
          <w:bCs/>
          <w:lang w:val="en-GB"/>
        </w:rPr>
        <w:t>written proof</w:t>
      </w:r>
      <w:r w:rsidRPr="009A5D2E">
        <w:rPr>
          <w:lang w:val="en-GB"/>
        </w:rPr>
        <w:t xml:space="preserve"> that the services have completed. This proof shall be a TIA-provided template </w:t>
      </w:r>
      <w:r w:rsidR="00150FC2" w:rsidRPr="009A5D2E">
        <w:rPr>
          <w:b/>
          <w:lang w:val="en-GB"/>
        </w:rPr>
        <w:t>Letter of Completion</w:t>
      </w:r>
      <w:r w:rsidR="00150FC2" w:rsidRPr="009A5D2E">
        <w:rPr>
          <w:lang w:val="en-GB"/>
        </w:rPr>
        <w:t xml:space="preserve"> from the Applicant (counter-</w:t>
      </w:r>
      <w:r w:rsidRPr="009A5D2E">
        <w:rPr>
          <w:lang w:val="en-GB"/>
        </w:rPr>
        <w:t>signed by the Provider) describing the capability provided. This template includes instructions for a brief completion report</w:t>
      </w:r>
      <w:r w:rsidR="009A5D2E" w:rsidRPr="009A5D2E">
        <w:rPr>
          <w:lang w:val="en-GB"/>
        </w:rPr>
        <w:t>.</w:t>
      </w:r>
    </w:p>
    <w:p w14:paraId="5DC5803A" w14:textId="4980DBC6" w:rsidR="00E40B63" w:rsidRDefault="00E40B63" w:rsidP="00E24EB5">
      <w:pPr>
        <w:spacing w:after="0"/>
      </w:pPr>
    </w:p>
    <w:p w14:paraId="04DCAAC3" w14:textId="6E31B47C" w:rsidR="002B3D3C" w:rsidRPr="009065BF" w:rsidRDefault="002B3D3C" w:rsidP="007634FD">
      <w:pPr>
        <w:pStyle w:val="ListParagraph"/>
        <w:keepNext/>
        <w:keepLines/>
        <w:numPr>
          <w:ilvl w:val="0"/>
          <w:numId w:val="15"/>
        </w:numPr>
        <w:spacing w:after="0"/>
        <w:rPr>
          <w:b/>
          <w:i/>
          <w:sz w:val="28"/>
          <w:szCs w:val="28"/>
          <w:lang w:val="en-GB"/>
        </w:rPr>
      </w:pPr>
      <w:r>
        <w:rPr>
          <w:b/>
          <w:i/>
          <w:sz w:val="28"/>
          <w:szCs w:val="28"/>
          <w:lang w:val="en-GB"/>
        </w:rPr>
        <w:t>Acknowledgement of TIA/NCRIS</w:t>
      </w:r>
    </w:p>
    <w:p w14:paraId="208FA9D2" w14:textId="77777777" w:rsidR="002B3D3C" w:rsidRDefault="002B3D3C" w:rsidP="002B3D3C">
      <w:pPr>
        <w:keepNext/>
        <w:keepLines/>
        <w:spacing w:after="0"/>
      </w:pPr>
    </w:p>
    <w:p w14:paraId="186AEBFA" w14:textId="58EBA445" w:rsidR="002B3D3C" w:rsidRDefault="002B3D3C" w:rsidP="00240052">
      <w:pPr>
        <w:keepNext/>
        <w:keepLines/>
      </w:pPr>
      <w:r>
        <w:t>Applicants and/or Providers a</w:t>
      </w:r>
      <w:r w:rsidRPr="00240052">
        <w:t>re expected to acknowledge TIA and NCRIS in all publications associated with this work and send publication details to TIA via the following online form:</w:t>
      </w:r>
    </w:p>
    <w:p w14:paraId="474EF159" w14:textId="4687F249" w:rsidR="002B3D3C" w:rsidRPr="00240052" w:rsidRDefault="00463535" w:rsidP="00240052">
      <w:pPr>
        <w:rPr>
          <w:b/>
          <w:bCs/>
        </w:rPr>
      </w:pPr>
      <w:hyperlink r:id="rId49" w:history="1">
        <w:r w:rsidR="000077E3" w:rsidRPr="003661FD">
          <w:rPr>
            <w:rStyle w:val="Hyperlink"/>
            <w:b/>
            <w:bCs/>
          </w:rPr>
          <w:t>http://bit.ly/ATRAX-DOI</w:t>
        </w:r>
      </w:hyperlink>
      <w:r w:rsidR="000077E3">
        <w:rPr>
          <w:b/>
          <w:bCs/>
        </w:rPr>
        <w:t xml:space="preserve"> </w:t>
      </w:r>
    </w:p>
    <w:p w14:paraId="5AD013D9" w14:textId="1E0258A4" w:rsidR="002B3D3C" w:rsidRDefault="002B3D3C" w:rsidP="00240052">
      <w:r>
        <w:t>Guidance for acknowledging TIA/NCRIS, including use of logos, is available at the following URL:</w:t>
      </w:r>
    </w:p>
    <w:p w14:paraId="45C3A849" w14:textId="408D93AD" w:rsidR="002B3D3C" w:rsidRPr="00240052" w:rsidRDefault="00463535" w:rsidP="00240052">
      <w:pPr>
        <w:rPr>
          <w:b/>
          <w:bCs/>
        </w:rPr>
      </w:pPr>
      <w:hyperlink r:id="rId50" w:history="1">
        <w:r w:rsidR="002B3D3C" w:rsidRPr="00240052">
          <w:rPr>
            <w:rStyle w:val="Hyperlink"/>
            <w:b/>
            <w:bCs/>
          </w:rPr>
          <w:t>http://www.therapeuticinnovation.com.au/acknowledging-tia</w:t>
        </w:r>
      </w:hyperlink>
    </w:p>
    <w:p w14:paraId="7A8F67F6" w14:textId="11F7AE65" w:rsidR="00C22A49" w:rsidRDefault="00C22A49" w:rsidP="005830CC">
      <w:pPr>
        <w:pStyle w:val="Heading2"/>
        <w:spacing w:before="0"/>
      </w:pPr>
      <w:r w:rsidRPr="00274BCB">
        <w:lastRenderedPageBreak/>
        <w:t>Scheme timelines</w:t>
      </w:r>
    </w:p>
    <w:tbl>
      <w:tblPr>
        <w:tblStyle w:val="GridTable5Dark-Accent11"/>
        <w:tblW w:w="9238" w:type="dxa"/>
        <w:tblLook w:val="0420" w:firstRow="1" w:lastRow="0" w:firstColumn="0" w:lastColumn="0" w:noHBand="0" w:noVBand="1"/>
      </w:tblPr>
      <w:tblGrid>
        <w:gridCol w:w="5825"/>
        <w:gridCol w:w="3413"/>
      </w:tblGrid>
      <w:tr w:rsidR="00C22A49" w14:paraId="6F626D20" w14:textId="77777777" w:rsidTr="00E34F48">
        <w:trPr>
          <w:cnfStyle w:val="100000000000" w:firstRow="1" w:lastRow="0" w:firstColumn="0" w:lastColumn="0" w:oddVBand="0" w:evenVBand="0" w:oddHBand="0" w:evenHBand="0" w:firstRowFirstColumn="0" w:firstRowLastColumn="0" w:lastRowFirstColumn="0" w:lastRowLastColumn="0"/>
          <w:trHeight w:val="334"/>
        </w:trPr>
        <w:tc>
          <w:tcPr>
            <w:tcW w:w="5825" w:type="dxa"/>
          </w:tcPr>
          <w:p w14:paraId="00D706FF" w14:textId="4EC99CEF" w:rsidR="00C22A49" w:rsidRDefault="00730F13" w:rsidP="00EE6A07">
            <w:pPr>
              <w:keepNext/>
              <w:keepLines/>
              <w:spacing w:before="60" w:after="60"/>
              <w:rPr>
                <w:lang w:val="en-GB"/>
              </w:rPr>
            </w:pPr>
            <w:r>
              <w:t>The scheme</w:t>
            </w:r>
            <w:r w:rsidR="00EB353E">
              <w:t>’s approximate timelines, which will remain subject to change, are listed below:</w:t>
            </w:r>
            <w:r w:rsidR="004439B1">
              <w:t xml:space="preserve"> </w:t>
            </w:r>
            <w:r w:rsidR="00C22A49">
              <w:rPr>
                <w:lang w:val="en-GB"/>
              </w:rPr>
              <w:t>Stage</w:t>
            </w:r>
          </w:p>
        </w:tc>
        <w:tc>
          <w:tcPr>
            <w:tcW w:w="3413" w:type="dxa"/>
          </w:tcPr>
          <w:p w14:paraId="54342453" w14:textId="3382C607" w:rsidR="00C22A49" w:rsidRDefault="00C22A49" w:rsidP="00EE6A07">
            <w:pPr>
              <w:keepNext/>
              <w:keepLines/>
              <w:spacing w:before="60" w:after="60"/>
              <w:rPr>
                <w:lang w:val="en-GB"/>
              </w:rPr>
            </w:pPr>
            <w:r>
              <w:rPr>
                <w:lang w:val="en-GB"/>
              </w:rPr>
              <w:t>Timeframe</w:t>
            </w:r>
          </w:p>
        </w:tc>
      </w:tr>
      <w:tr w:rsidR="00F5507B" w14:paraId="1FE1094F" w14:textId="77777777" w:rsidTr="00E34F48">
        <w:trPr>
          <w:cnfStyle w:val="000000100000" w:firstRow="0" w:lastRow="0" w:firstColumn="0" w:lastColumn="0" w:oddVBand="0" w:evenVBand="0" w:oddHBand="1" w:evenHBand="0" w:firstRowFirstColumn="0" w:firstRowLastColumn="0" w:lastRowFirstColumn="0" w:lastRowLastColumn="0"/>
          <w:trHeight w:val="334"/>
        </w:trPr>
        <w:tc>
          <w:tcPr>
            <w:tcW w:w="5825" w:type="dxa"/>
          </w:tcPr>
          <w:p w14:paraId="54008684" w14:textId="3017F48A" w:rsidR="00F5507B" w:rsidRDefault="00F5507B" w:rsidP="00F5507B">
            <w:pPr>
              <w:keepNext/>
              <w:keepLines/>
              <w:spacing w:before="60" w:after="60"/>
              <w:rPr>
                <w:lang w:val="en-GB"/>
              </w:rPr>
            </w:pPr>
            <w:r>
              <w:rPr>
                <w:lang w:val="en-GB"/>
              </w:rPr>
              <w:t>Scheme opens for applications on the TIA website</w:t>
            </w:r>
          </w:p>
        </w:tc>
        <w:tc>
          <w:tcPr>
            <w:tcW w:w="3413" w:type="dxa"/>
          </w:tcPr>
          <w:p w14:paraId="333553EA" w14:textId="175C83F8" w:rsidR="00F5507B" w:rsidRDefault="00F5507B" w:rsidP="00F5507B">
            <w:pPr>
              <w:keepNext/>
              <w:keepLines/>
              <w:spacing w:before="60" w:after="60"/>
              <w:rPr>
                <w:lang w:val="en-GB"/>
              </w:rPr>
            </w:pPr>
            <w:r w:rsidRPr="00494249">
              <w:rPr>
                <w:lang w:val="en-GB"/>
              </w:rPr>
              <w:t>26</w:t>
            </w:r>
            <w:r w:rsidRPr="00494249">
              <w:rPr>
                <w:vertAlign w:val="superscript"/>
                <w:lang w:val="en-GB"/>
              </w:rPr>
              <w:t>th</w:t>
            </w:r>
            <w:r w:rsidRPr="00494249">
              <w:rPr>
                <w:lang w:val="en-GB"/>
              </w:rPr>
              <w:t xml:space="preserve"> Feb 2021</w:t>
            </w:r>
          </w:p>
        </w:tc>
      </w:tr>
      <w:tr w:rsidR="00F5507B" w14:paraId="30AA1AC8" w14:textId="77777777" w:rsidTr="00E34F48">
        <w:trPr>
          <w:trHeight w:val="325"/>
        </w:trPr>
        <w:tc>
          <w:tcPr>
            <w:tcW w:w="5825" w:type="dxa"/>
          </w:tcPr>
          <w:p w14:paraId="3EF2EE17" w14:textId="1C398F64" w:rsidR="00F5507B" w:rsidRDefault="00F5507B" w:rsidP="00F5507B">
            <w:pPr>
              <w:keepNext/>
              <w:keepLines/>
              <w:spacing w:before="60" w:after="60"/>
              <w:rPr>
                <w:rFonts w:eastAsia="Calibri" w:cs="Calibri"/>
                <w:szCs w:val="22"/>
                <w:lang w:val="en-GB"/>
              </w:rPr>
            </w:pPr>
            <w:r w:rsidRPr="210B7E85">
              <w:rPr>
                <w:rFonts w:eastAsia="Calibri" w:cs="Calibri"/>
                <w:szCs w:val="22"/>
                <w:lang w:val="en-GB"/>
              </w:rPr>
              <w:t>Scheme closes for applications</w:t>
            </w:r>
          </w:p>
        </w:tc>
        <w:tc>
          <w:tcPr>
            <w:tcW w:w="3413" w:type="dxa"/>
          </w:tcPr>
          <w:p w14:paraId="08A4ADBF" w14:textId="533F8A13" w:rsidR="00F5507B" w:rsidRDefault="00F5507B" w:rsidP="00F5507B">
            <w:pPr>
              <w:keepNext/>
              <w:keepLines/>
              <w:spacing w:before="60" w:after="60"/>
              <w:rPr>
                <w:lang w:val="en-GB"/>
              </w:rPr>
            </w:pPr>
            <w:r w:rsidRPr="00494249">
              <w:rPr>
                <w:lang w:val="en-GB"/>
              </w:rPr>
              <w:t>5pm, 30</w:t>
            </w:r>
            <w:r w:rsidRPr="00494249">
              <w:rPr>
                <w:vertAlign w:val="superscript"/>
                <w:lang w:val="en-GB"/>
              </w:rPr>
              <w:t>th</w:t>
            </w:r>
            <w:r w:rsidRPr="00494249">
              <w:rPr>
                <w:lang w:val="en-GB"/>
              </w:rPr>
              <w:t xml:space="preserve"> April 2021</w:t>
            </w:r>
          </w:p>
        </w:tc>
      </w:tr>
      <w:tr w:rsidR="00F5507B" w14:paraId="729B5B3F" w14:textId="77777777" w:rsidTr="00E34F48">
        <w:trPr>
          <w:cnfStyle w:val="000000100000" w:firstRow="0" w:lastRow="0" w:firstColumn="0" w:lastColumn="0" w:oddVBand="0" w:evenVBand="0" w:oddHBand="1" w:evenHBand="0" w:firstRowFirstColumn="0" w:firstRowLastColumn="0" w:lastRowFirstColumn="0" w:lastRowLastColumn="0"/>
          <w:trHeight w:val="334"/>
        </w:trPr>
        <w:tc>
          <w:tcPr>
            <w:tcW w:w="5825" w:type="dxa"/>
          </w:tcPr>
          <w:p w14:paraId="33063A61" w14:textId="2271F8F0" w:rsidR="00F5507B" w:rsidRDefault="00F5507B" w:rsidP="00F5507B">
            <w:pPr>
              <w:keepNext/>
              <w:keepLines/>
              <w:spacing w:before="60" w:after="60"/>
              <w:rPr>
                <w:rFonts w:eastAsia="Calibri" w:cs="Calibri"/>
                <w:szCs w:val="22"/>
                <w:lang w:val="en-GB"/>
              </w:rPr>
            </w:pPr>
            <w:r w:rsidRPr="210B7E85">
              <w:rPr>
                <w:rFonts w:eastAsia="Calibri" w:cs="Calibri"/>
                <w:szCs w:val="22"/>
                <w:lang w:val="en-GB"/>
              </w:rPr>
              <w:t>Applications assessed</w:t>
            </w:r>
          </w:p>
        </w:tc>
        <w:tc>
          <w:tcPr>
            <w:tcW w:w="3413" w:type="dxa"/>
          </w:tcPr>
          <w:p w14:paraId="10FA6FB0" w14:textId="47A0D198" w:rsidR="00F5507B" w:rsidRDefault="00F5507B" w:rsidP="00F5507B">
            <w:pPr>
              <w:keepNext/>
              <w:keepLines/>
              <w:spacing w:before="60" w:after="60"/>
              <w:rPr>
                <w:lang w:val="en-GB"/>
              </w:rPr>
            </w:pPr>
            <w:r w:rsidRPr="00494249">
              <w:rPr>
                <w:lang w:val="en-GB"/>
              </w:rPr>
              <w:t>Early May 2021</w:t>
            </w:r>
          </w:p>
        </w:tc>
      </w:tr>
      <w:tr w:rsidR="00F5507B" w14:paraId="24A7C50B" w14:textId="77777777" w:rsidTr="00E34F48">
        <w:trPr>
          <w:trHeight w:val="334"/>
        </w:trPr>
        <w:tc>
          <w:tcPr>
            <w:tcW w:w="5825" w:type="dxa"/>
          </w:tcPr>
          <w:p w14:paraId="5EC206D0" w14:textId="400A219B" w:rsidR="00F5507B" w:rsidRDefault="00F5507B" w:rsidP="00F5507B">
            <w:pPr>
              <w:keepNext/>
              <w:keepLines/>
              <w:spacing w:before="60" w:after="60"/>
              <w:rPr>
                <w:lang w:val="en-GB"/>
              </w:rPr>
            </w:pPr>
            <w:r w:rsidRPr="210B7E85">
              <w:rPr>
                <w:lang w:val="en-GB"/>
              </w:rPr>
              <w:t>Awards made</w:t>
            </w:r>
          </w:p>
        </w:tc>
        <w:tc>
          <w:tcPr>
            <w:tcW w:w="3413" w:type="dxa"/>
          </w:tcPr>
          <w:p w14:paraId="548C47B5" w14:textId="7F959420" w:rsidR="00F5507B" w:rsidRDefault="00F5507B" w:rsidP="00F5507B">
            <w:pPr>
              <w:keepNext/>
              <w:keepLines/>
              <w:spacing w:before="60" w:after="60"/>
              <w:rPr>
                <w:lang w:val="en-GB"/>
              </w:rPr>
            </w:pPr>
            <w:r w:rsidRPr="00494249">
              <w:rPr>
                <w:lang w:val="en-GB"/>
              </w:rPr>
              <w:t>Late June 2021</w:t>
            </w:r>
          </w:p>
        </w:tc>
      </w:tr>
      <w:tr w:rsidR="00F5507B" w14:paraId="2A8C813F" w14:textId="77777777" w:rsidTr="00E34F48">
        <w:trPr>
          <w:cnfStyle w:val="000000100000" w:firstRow="0" w:lastRow="0" w:firstColumn="0" w:lastColumn="0" w:oddVBand="0" w:evenVBand="0" w:oddHBand="1" w:evenHBand="0" w:firstRowFirstColumn="0" w:firstRowLastColumn="0" w:lastRowFirstColumn="0" w:lastRowLastColumn="0"/>
          <w:trHeight w:val="334"/>
        </w:trPr>
        <w:tc>
          <w:tcPr>
            <w:tcW w:w="5825" w:type="dxa"/>
          </w:tcPr>
          <w:p w14:paraId="427D626D" w14:textId="6AEE35BF" w:rsidR="00F5507B" w:rsidRDefault="00F5507B" w:rsidP="005830CC">
            <w:pPr>
              <w:keepNext/>
              <w:keepLines/>
              <w:spacing w:after="0"/>
              <w:rPr>
                <w:lang w:val="en-GB"/>
              </w:rPr>
            </w:pPr>
            <w:r w:rsidRPr="210B7E85">
              <w:rPr>
                <w:lang w:val="en-GB"/>
              </w:rPr>
              <w:t>Projects commence</w:t>
            </w:r>
          </w:p>
        </w:tc>
        <w:tc>
          <w:tcPr>
            <w:tcW w:w="3413" w:type="dxa"/>
          </w:tcPr>
          <w:p w14:paraId="5F35B5CE" w14:textId="3E3F25D4" w:rsidR="00F5507B" w:rsidRDefault="00C57D38" w:rsidP="005830CC">
            <w:pPr>
              <w:keepNext/>
              <w:keepLines/>
              <w:spacing w:after="0"/>
              <w:rPr>
                <w:lang w:val="en-GB"/>
              </w:rPr>
            </w:pPr>
            <w:r>
              <w:rPr>
                <w:lang w:val="en-GB"/>
              </w:rPr>
              <w:t>From e</w:t>
            </w:r>
            <w:r w:rsidR="00F5507B" w:rsidRPr="00494249">
              <w:rPr>
                <w:lang w:val="en-GB"/>
              </w:rPr>
              <w:t>arly July 2021</w:t>
            </w:r>
          </w:p>
        </w:tc>
      </w:tr>
    </w:tbl>
    <w:p w14:paraId="3372EFB2" w14:textId="7C6258D0" w:rsidR="00B1060E" w:rsidRPr="001D5EF7" w:rsidRDefault="004439B1" w:rsidP="001D5EF7">
      <w:pPr>
        <w:keepNext/>
        <w:keepLines/>
        <w:spacing w:after="0"/>
        <w:rPr>
          <w:lang w:val="en-GB"/>
        </w:rPr>
      </w:pPr>
      <w:r>
        <w:rPr>
          <w:lang w:val="en-GB"/>
        </w:rPr>
        <w:t xml:space="preserve">*Offers may be withdrawn if projects have not commenced within </w:t>
      </w:r>
      <w:r w:rsidR="00266F20">
        <w:rPr>
          <w:lang w:val="en-GB"/>
        </w:rPr>
        <w:t>six</w:t>
      </w:r>
      <w:r>
        <w:rPr>
          <w:lang w:val="en-GB"/>
        </w:rPr>
        <w:t xml:space="preserve"> months without a</w:t>
      </w:r>
      <w:r w:rsidR="0030314C">
        <w:rPr>
          <w:lang w:val="en-GB"/>
        </w:rPr>
        <w:t>n</w:t>
      </w:r>
      <w:r>
        <w:rPr>
          <w:lang w:val="en-GB"/>
        </w:rPr>
        <w:t xml:space="preserve"> explanation</w:t>
      </w:r>
      <w:r w:rsidR="0030314C">
        <w:rPr>
          <w:lang w:val="en-GB"/>
        </w:rPr>
        <w:t xml:space="preserve"> satisfactory to TIA.</w:t>
      </w:r>
    </w:p>
    <w:p w14:paraId="1784C948" w14:textId="409872A5" w:rsidR="00EA1351" w:rsidRDefault="0024195D" w:rsidP="00D32826">
      <w:pPr>
        <w:pStyle w:val="Heading2"/>
      </w:pPr>
      <w:r>
        <w:t>Scheme documents</w:t>
      </w:r>
    </w:p>
    <w:p w14:paraId="3295BFB3" w14:textId="304DD18A" w:rsidR="0010177B" w:rsidRDefault="00B01D2F" w:rsidP="0010177B">
      <w:r>
        <w:t xml:space="preserve">These documents make up the Application and reporting package for </w:t>
      </w:r>
      <w:r w:rsidR="004A4E77">
        <w:t xml:space="preserve">the </w:t>
      </w:r>
      <w:r w:rsidR="004A4E77" w:rsidRPr="004A4E77">
        <w:rPr>
          <w:b/>
        </w:rPr>
        <w:t>Pipeline Accelerator</w:t>
      </w:r>
      <w:r w:rsidR="004A4E77">
        <w:t xml:space="preserve"> scheme.</w:t>
      </w:r>
      <w:r w:rsidR="000C1EEE">
        <w:t xml:space="preserve"> All documents are available for download on the scheme’s </w:t>
      </w:r>
      <w:hyperlink r:id="rId51" w:history="1">
        <w:r w:rsidR="000C1EEE" w:rsidRPr="000C1EEE">
          <w:rPr>
            <w:rStyle w:val="Hyperlink"/>
          </w:rPr>
          <w:t>webpage</w:t>
        </w:r>
      </w:hyperlink>
      <w:r w:rsidR="000C1EEE">
        <w:t>.</w:t>
      </w:r>
    </w:p>
    <w:p w14:paraId="1B1FA625" w14:textId="4E35DBB9" w:rsidR="00820349" w:rsidRDefault="00820349" w:rsidP="00820349">
      <w:pPr>
        <w:pStyle w:val="ListParagraph"/>
        <w:numPr>
          <w:ilvl w:val="0"/>
          <w:numId w:val="25"/>
        </w:numPr>
      </w:pPr>
      <w:r>
        <w:t xml:space="preserve">1 Pipeline Accelerator Guidelines 2021-21 Round 2.docx </w:t>
      </w:r>
      <w:r w:rsidRPr="210B7E85">
        <w:rPr>
          <w:b/>
          <w:bCs/>
        </w:rPr>
        <w:t>(this document)</w:t>
      </w:r>
    </w:p>
    <w:p w14:paraId="2835A68B" w14:textId="033B3814" w:rsidR="00820349" w:rsidRDefault="00820349" w:rsidP="00820349">
      <w:pPr>
        <w:pStyle w:val="ListParagraph"/>
        <w:numPr>
          <w:ilvl w:val="0"/>
          <w:numId w:val="25"/>
        </w:numPr>
      </w:pPr>
      <w:r>
        <w:t xml:space="preserve">2 Pipeline Accelerator Application 2021-21 Round 2.docx </w:t>
      </w:r>
    </w:p>
    <w:p w14:paraId="2D42F8D1" w14:textId="11E31203" w:rsidR="00820349" w:rsidRPr="008F0C5B" w:rsidRDefault="00820349" w:rsidP="00820349">
      <w:pPr>
        <w:pStyle w:val="ListParagraph"/>
        <w:numPr>
          <w:ilvl w:val="0"/>
          <w:numId w:val="25"/>
        </w:numPr>
        <w:rPr>
          <w:b/>
          <w:bCs/>
        </w:rPr>
      </w:pPr>
      <w:r>
        <w:t xml:space="preserve">3 Letter of Commencement template 2020-21 Round 2.docx </w:t>
      </w:r>
      <w:r w:rsidRPr="008F0C5B">
        <w:rPr>
          <w:b/>
          <w:bCs/>
        </w:rPr>
        <w:t>to accompany initial invoice</w:t>
      </w:r>
    </w:p>
    <w:p w14:paraId="7D5026FD" w14:textId="4F36C027" w:rsidR="00820349" w:rsidRPr="00494249" w:rsidRDefault="00820349" w:rsidP="00820349">
      <w:pPr>
        <w:pStyle w:val="ListParagraph"/>
        <w:numPr>
          <w:ilvl w:val="0"/>
          <w:numId w:val="25"/>
        </w:numPr>
      </w:pPr>
      <w:r>
        <w:t xml:space="preserve">4 Letter of Completion template 2020-21 Round 2.docx </w:t>
      </w:r>
      <w:r w:rsidRPr="008F0C5B">
        <w:rPr>
          <w:b/>
          <w:bCs/>
        </w:rPr>
        <w:t>to inform TIA of project completion</w:t>
      </w:r>
    </w:p>
    <w:p w14:paraId="3E6E0EEE" w14:textId="1AA0851F" w:rsidR="00EF470C" w:rsidRPr="00A27DA1" w:rsidRDefault="00EF470C" w:rsidP="00820349"/>
    <w:sectPr w:rsidR="00EF470C" w:rsidRPr="00A27DA1" w:rsidSect="0030314C">
      <w:headerReference w:type="even" r:id="rId52"/>
      <w:headerReference w:type="default" r:id="rId53"/>
      <w:footerReference w:type="default" r:id="rId54"/>
      <w:headerReference w:type="first" r:id="rId55"/>
      <w:type w:val="continuous"/>
      <w:pgSz w:w="11900" w:h="16840"/>
      <w:pgMar w:top="1342" w:right="1440" w:bottom="1440" w:left="1440" w:header="403"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0E376" w14:textId="77777777" w:rsidR="00463535" w:rsidRDefault="00463535" w:rsidP="00A43705">
      <w:r>
        <w:separator/>
      </w:r>
    </w:p>
  </w:endnote>
  <w:endnote w:type="continuationSeparator" w:id="0">
    <w:p w14:paraId="56A20D97" w14:textId="77777777" w:rsidR="00463535" w:rsidRDefault="00463535" w:rsidP="00A43705">
      <w:r>
        <w:continuationSeparator/>
      </w:r>
    </w:p>
  </w:endnote>
  <w:endnote w:type="continuationNotice" w:id="1">
    <w:p w14:paraId="1760A0D0" w14:textId="77777777" w:rsidR="00463535" w:rsidRDefault="004635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haparral Pro">
    <w:altName w:val="Times New Roman"/>
    <w:panose1 w:val="02060503040505020203"/>
    <w:charset w:val="00"/>
    <w:family w:val="roman"/>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HelveticaNeueLT Std Lt Cn">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89794"/>
      <w:docPartObj>
        <w:docPartGallery w:val="Page Numbers (Bottom of Page)"/>
        <w:docPartUnique/>
      </w:docPartObj>
    </w:sdtPr>
    <w:sdtEndPr>
      <w:rPr>
        <w:noProof/>
      </w:rPr>
    </w:sdtEndPr>
    <w:sdtContent>
      <w:p w14:paraId="02BCAA23" w14:textId="6988A1FD" w:rsidR="00DF5B35" w:rsidRDefault="00DF5B35">
        <w:pPr>
          <w:pStyle w:val="Footer"/>
          <w:jc w:val="right"/>
        </w:pPr>
        <w:r>
          <w:fldChar w:fldCharType="begin"/>
        </w:r>
        <w:r>
          <w:instrText xml:space="preserve"> PAGE   \* MERGEFORMAT </w:instrText>
        </w:r>
        <w:r>
          <w:fldChar w:fldCharType="separate"/>
        </w:r>
        <w:r w:rsidR="001708DD">
          <w:rPr>
            <w:noProof/>
          </w:rPr>
          <w:t>7</w:t>
        </w:r>
        <w:r>
          <w:rPr>
            <w:noProof/>
          </w:rPr>
          <w:fldChar w:fldCharType="end"/>
        </w:r>
      </w:p>
    </w:sdtContent>
  </w:sdt>
  <w:p w14:paraId="0A7089AD" w14:textId="77777777" w:rsidR="00DF5B35" w:rsidRDefault="00DF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1E7EC" w14:textId="77777777" w:rsidR="00463535" w:rsidRDefault="00463535" w:rsidP="00A43705">
      <w:r>
        <w:separator/>
      </w:r>
    </w:p>
  </w:footnote>
  <w:footnote w:type="continuationSeparator" w:id="0">
    <w:p w14:paraId="3B410212" w14:textId="77777777" w:rsidR="00463535" w:rsidRDefault="00463535" w:rsidP="00A43705">
      <w:r>
        <w:continuationSeparator/>
      </w:r>
    </w:p>
  </w:footnote>
  <w:footnote w:type="continuationNotice" w:id="1">
    <w:p w14:paraId="3F479D58" w14:textId="77777777" w:rsidR="00463535" w:rsidRDefault="00463535">
      <w:pPr>
        <w:spacing w:after="0"/>
      </w:pPr>
    </w:p>
  </w:footnote>
  <w:footnote w:id="2">
    <w:p w14:paraId="2869B681" w14:textId="076B610E" w:rsidR="00863ACB" w:rsidRPr="00863ACB" w:rsidRDefault="00863ACB">
      <w:pPr>
        <w:pStyle w:val="FootnoteText"/>
        <w:rPr>
          <w:lang w:val="en-AU"/>
        </w:rPr>
      </w:pPr>
      <w:r>
        <w:rPr>
          <w:rStyle w:val="FootnoteReference"/>
        </w:rPr>
        <w:footnoteRef/>
      </w:r>
      <w:r>
        <w:t xml:space="preserve"> </w:t>
      </w:r>
      <w:r>
        <w:rPr>
          <w:lang w:val="en-AU"/>
        </w:rPr>
        <w:t xml:space="preserve">For access to High Throughput Screening facilities, please refer to </w:t>
      </w:r>
      <w:r w:rsidR="000B6473" w:rsidRPr="000B6473">
        <w:rPr>
          <w:b/>
          <w:bCs/>
          <w:lang w:val="en-AU"/>
        </w:rPr>
        <w:t>Pipeline Accelerator 2020-21 (Round 2 - Screening) guidelines</w:t>
      </w:r>
      <w:r w:rsidR="000B6473">
        <w:rPr>
          <w:lang w:val="en-AU"/>
        </w:rPr>
        <w:t xml:space="preserve"> on the Pipeline Accelerator webpage.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FA4D" w14:textId="1C58C11D" w:rsidR="00DF5B35" w:rsidRDefault="00DF5B35">
    <w:pPr>
      <w:pStyle w:val="Header"/>
    </w:pPr>
    <w:r>
      <w:rPr>
        <w:noProof/>
        <w:lang w:eastAsia="zh-CN"/>
      </w:rPr>
      <mc:AlternateContent>
        <mc:Choice Requires="wps">
          <w:drawing>
            <wp:anchor distT="0" distB="0" distL="114300" distR="114300" simplePos="0" relativeHeight="251658244" behindDoc="1" locked="0" layoutInCell="0" allowOverlap="1" wp14:anchorId="539FD60D" wp14:editId="684AE5A4">
              <wp:simplePos x="0" y="0"/>
              <wp:positionH relativeFrom="margin">
                <wp:align>center</wp:align>
              </wp:positionH>
              <wp:positionV relativeFrom="margin">
                <wp:align>center</wp:align>
              </wp:positionV>
              <wp:extent cx="7903845" cy="106680"/>
              <wp:effectExtent l="0" t="2628900" r="0" b="244411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2DA20" w14:textId="77777777" w:rsidR="00DF5B35" w:rsidRDefault="00DF5B35"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FD60D" id="_x0000_t202" coordsize="21600,21600" o:spt="202" path="m,l,21600r21600,l21600,xe">
              <v:stroke joinstyle="miter"/>
              <v:path gradientshapeok="t" o:connecttype="rect"/>
            </v:shapetype>
            <v:shape id="WordArt 10" o:spid="_x0000_s1026" type="#_x0000_t202" style="position:absolute;margin-left:0;margin-top:0;width:622.35pt;height:8.4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" o:allowincell="f" filled="f" stroked="f">
              <v:stroke joinstyle="round"/>
              <o:lock v:ext="edit" shapetype="t"/>
              <v:textbox style="mso-fit-shape-to-text:t">
                <w:txbxContent>
                  <w:p w14:paraId="4E42DA20" w14:textId="77777777" w:rsidR="00DF5B35" w:rsidRDefault="00DF5B35"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58242" behindDoc="1" locked="0" layoutInCell="1" allowOverlap="1" wp14:anchorId="27EE661D" wp14:editId="7919CD5C">
              <wp:simplePos x="0" y="0"/>
              <wp:positionH relativeFrom="margin">
                <wp:align>center</wp:align>
              </wp:positionH>
              <wp:positionV relativeFrom="margin">
                <wp:align>center</wp:align>
              </wp:positionV>
              <wp:extent cx="7545705" cy="106045"/>
              <wp:effectExtent l="0" t="2181225" r="0" b="21894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FE92FE" w14:textId="77777777" w:rsidR="00DF5B35" w:rsidRDefault="00DF5B35"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EE661D" id="WordArt 6" o:spid="_x0000_s1027" type="#_x0000_t202" style="position:absolute;margin-left:0;margin-top:0;width:594.15pt;height:8.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" filled="f" stroked="f">
              <v:stroke joinstyle="round"/>
              <o:lock v:ext="edit" shapetype="t"/>
              <v:textbox style="mso-fit-shape-to-text:t">
                <w:txbxContent>
                  <w:p w14:paraId="22FE92FE" w14:textId="77777777" w:rsidR="00DF5B35" w:rsidRDefault="00DF5B35"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463535">
      <w:rPr>
        <w:noProof/>
        <w:lang w:val="en-US"/>
      </w:rPr>
      <w:pict w14:anchorId="50B4C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633.75pt;height:45.25pt;rotation:315;z-index:-251658240;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175C" w14:textId="775BF67D" w:rsidR="00DF5B35" w:rsidRDefault="00DF5B35">
    <w:pPr>
      <w:pStyle w:val="Header"/>
    </w:pPr>
    <w:r>
      <w:rPr>
        <w:noProof/>
        <w:lang w:eastAsia="zh-CN"/>
      </w:rPr>
      <w:drawing>
        <wp:anchor distT="0" distB="0" distL="114300" distR="114300" simplePos="0" relativeHeight="251658247" behindDoc="1" locked="1" layoutInCell="1" allowOverlap="1" wp14:anchorId="1E0C1532" wp14:editId="6ED10000">
          <wp:simplePos x="0" y="0"/>
          <wp:positionH relativeFrom="page">
            <wp:posOffset>7620</wp:posOffset>
          </wp:positionH>
          <wp:positionV relativeFrom="page">
            <wp:posOffset>7620</wp:posOffset>
          </wp:positionV>
          <wp:extent cx="1070610" cy="10691495"/>
          <wp:effectExtent l="0" t="0" r="0" b="190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rotWithShape="1">
                  <a:blip r:embed="rId1" cstate="print">
                    <a:extLst>
                      <a:ext uri="{28A0092B-C50C-407E-A947-70E740481C1C}">
                        <a14:useLocalDpi xmlns:a14="http://schemas.microsoft.com/office/drawing/2010/main" val="0"/>
                      </a:ext>
                    </a:extLst>
                  </a:blip>
                  <a:srcRect r="85837"/>
                  <a:stretch/>
                </pic:blipFill>
                <pic:spPr bwMode="auto">
                  <a:xfrm>
                    <a:off x="0" y="0"/>
                    <a:ext cx="1070610"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1D54" w14:textId="3382031B" w:rsidR="00DF5B35" w:rsidRDefault="00DF5B35">
    <w:pPr>
      <w:pStyle w:val="Header"/>
    </w:pPr>
    <w:r>
      <w:rPr>
        <w:noProof/>
        <w:lang w:eastAsia="zh-CN"/>
      </w:rPr>
      <w:drawing>
        <wp:anchor distT="0" distB="0" distL="114300" distR="114300" simplePos="0" relativeHeight="251658246" behindDoc="1" locked="1" layoutInCell="1" allowOverlap="1" wp14:anchorId="1DBE01D2" wp14:editId="556AA580">
          <wp:simplePos x="0" y="0"/>
          <wp:positionH relativeFrom="page">
            <wp:posOffset>8890</wp:posOffset>
          </wp:positionH>
          <wp:positionV relativeFrom="page">
            <wp:posOffset>10795</wp:posOffset>
          </wp:positionV>
          <wp:extent cx="7559675" cy="10691495"/>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A4-Letterhead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8245" behindDoc="1" locked="0" layoutInCell="0" allowOverlap="1" wp14:anchorId="24937629" wp14:editId="4C98B24F">
              <wp:simplePos x="0" y="0"/>
              <wp:positionH relativeFrom="margin">
                <wp:align>center</wp:align>
              </wp:positionH>
              <wp:positionV relativeFrom="margin">
                <wp:align>center</wp:align>
              </wp:positionV>
              <wp:extent cx="7903845" cy="106680"/>
              <wp:effectExtent l="0" t="2628900" r="0" b="2444115"/>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384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1AE796" w14:textId="77777777" w:rsidR="00DF5B35" w:rsidRDefault="00DF5B35" w:rsidP="008C6FF7">
                          <w:pPr>
                            <w:pStyle w:val="NormalWeb"/>
                            <w:spacing w:before="0" w:beforeAutospacing="0" w:after="0" w:afterAutospacing="0"/>
                            <w:jc w:val="center"/>
                          </w:pPr>
                          <w:r>
                            <w:rPr>
                              <w:rFonts w:ascii="Calibri" w:hAnsi="Calibri"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937629" id="_x0000_t202" coordsize="21600,21600" o:spt="202" path="m,l,21600r21600,l21600,xe">
              <v:stroke joinstyle="miter"/>
              <v:path gradientshapeok="t" o:connecttype="rect"/>
            </v:shapetype>
            <v:shape id="WordArt 11" o:spid="_x0000_s1028" type="#_x0000_t202" style="position:absolute;margin-left:0;margin-top:0;width:622.35pt;height:8.4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" o:allowincell="f" filled="f" stroked="f">
              <v:stroke joinstyle="round"/>
              <o:lock v:ext="edit" shapetype="t"/>
              <v:textbox style="mso-fit-shape-to-text:t">
                <w:txbxContent>
                  <w:p w14:paraId="7E1AE796" w14:textId="77777777" w:rsidR="00DF5B35" w:rsidRDefault="00DF5B35" w:rsidP="008C6FF7">
                    <w:pPr>
                      <w:pStyle w:val="NormalWeb"/>
                      <w:spacing w:before="0" w:beforeAutospacing="0" w:after="0" w:afterAutospacing="0"/>
                      <w:jc w:val="center"/>
                    </w:pPr>
                    <w:r>
                      <w:rPr>
                        <w:rFonts w:ascii="Calibri" w:hAnsi="Calibri" w:cs="Calibri"/>
                        <w:color w:val="C0C0C0"/>
                        <w:sz w:val="2"/>
                        <w:szCs w:val="2"/>
                      </w:rPr>
                      <w:t>CONFIDENTIAL DRAFT</w:t>
                    </w:r>
                  </w:p>
                </w:txbxContent>
              </v:textbox>
              <w10:wrap anchorx="margin" anchory="margin"/>
            </v:shape>
          </w:pict>
        </mc:Fallback>
      </mc:AlternateContent>
    </w:r>
    <w:r>
      <w:rPr>
        <w:noProof/>
        <w:lang w:eastAsia="zh-CN"/>
      </w:rPr>
      <mc:AlternateContent>
        <mc:Choice Requires="wps">
          <w:drawing>
            <wp:anchor distT="0" distB="0" distL="114300" distR="114300" simplePos="0" relativeHeight="251658243" behindDoc="1" locked="0" layoutInCell="1" allowOverlap="1" wp14:anchorId="5BBAF652" wp14:editId="0690CBBB">
              <wp:simplePos x="0" y="0"/>
              <wp:positionH relativeFrom="margin">
                <wp:align>center</wp:align>
              </wp:positionH>
              <wp:positionV relativeFrom="margin">
                <wp:align>center</wp:align>
              </wp:positionV>
              <wp:extent cx="7545705" cy="106045"/>
              <wp:effectExtent l="0" t="2181225" r="0" b="218948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457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73E90D" w14:textId="77777777" w:rsidR="00DF5B35" w:rsidRDefault="00DF5B35" w:rsidP="008C6FF7">
                          <w:pPr>
                            <w:pStyle w:val="NormalWeb"/>
                            <w:spacing w:before="0" w:beforeAutospacing="0" w:after="0" w:afterAutospacing="0"/>
                            <w:jc w:val="center"/>
                          </w:pPr>
                          <w:r>
                            <w:rPr>
                              <w:rFonts w:ascii="Arial" w:hAnsi="Arial" w:cs="Arial"/>
                              <w:color w:val="C0C0C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BAF652" id="WordArt 7" o:spid="_x0000_s1029" type="#_x0000_t202" style="position:absolute;margin-left:0;margin-top:0;width:594.15pt;height:8.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" filled="f" stroked="f">
              <v:stroke joinstyle="round"/>
              <o:lock v:ext="edit" shapetype="t"/>
              <v:textbox style="mso-fit-shape-to-text:t">
                <w:txbxContent>
                  <w:p w14:paraId="3673E90D" w14:textId="77777777" w:rsidR="00DF5B35" w:rsidRDefault="00DF5B35" w:rsidP="008C6FF7">
                    <w:pPr>
                      <w:pStyle w:val="NormalWeb"/>
                      <w:spacing w:before="0" w:beforeAutospacing="0" w:after="0" w:afterAutospacing="0"/>
                      <w:jc w:val="center"/>
                    </w:pPr>
                    <w:r>
                      <w:rPr>
                        <w:rFonts w:ascii="Arial" w:hAnsi="Arial" w:cs="Arial"/>
                        <w:color w:val="C0C0C0"/>
                        <w:sz w:val="2"/>
                        <w:szCs w:val="2"/>
                      </w:rPr>
                      <w:t>CONFIDENTIAL</w:t>
                    </w:r>
                  </w:p>
                </w:txbxContent>
              </v:textbox>
              <w10:wrap anchorx="margin" anchory="margin"/>
            </v:shape>
          </w:pict>
        </mc:Fallback>
      </mc:AlternateContent>
    </w:r>
    <w:r w:rsidR="00463535">
      <w:rPr>
        <w:noProof/>
        <w:lang w:val="en-US"/>
      </w:rPr>
      <w:pict w14:anchorId="3215F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33.75pt;height:45.25pt;rotation:315;z-index:-251658239;mso-wrap-edited:f;mso-width-percent:0;mso-height-percent:0;mso-position-horizontal:center;mso-position-horizontal-relative:margin;mso-position-vertical:center;mso-position-vertical-relative:margin;mso-width-percent:0;mso-height-percent:0" wrapcoords="21318 6480 21293 6120 20654 6840 20194 6120 19682 2160 19606 2880 19580 6480 18379 6120 18200 6480 18072 7200 18021 9000 17842 6480 17382 5040 17254 6120 16666 6120 16538 7200 16410 9000 16359 10080 16155 7200 15362 1800 15286 2880 14979 2880 14928 3240 14928 6120 14698 6120 14544 6840 14468 7920 13752 6120 13522 6480 13445 7200 13471 10080 13164 6840 12423 1440 12346 2880 12090 7200 11528 3240 11247 1800 11093 2520 10940 4680 10301 6120 9739 6480 9279 2520 9202 2880 9176 6480 8921 6480 8767 6840 8691 7920 8103 3240 7924 2160 7873 4680 7413 6120 6850 2880 6722 2520 6671 3960 6390 2880 6288 3600 5137 7200 4345 1800 4268 2520 3962 6120 3502 2880 3169 1440 3093 2160 2811 6480 2275 6120 1431 6480 1226 7200 869 3600 690 2520 357 2520 255 3240 25 7560 51 12240 51 12600 383 17280 408 17640 715 17640 1048 14760 1278 16920 1661 18360 1789 16560 2172 17280 2223 16920 2249 15120 2377 16200 2939 18360 3578 16920 4141 18000 4192 17640 4626 16560 4805 18000 5163 16560 5214 15840 5495 17640 5598 16560 5623 13320 5879 16560 6364 19440 6492 17640 6748 17640 6876 16920 6901 15120 7055 16920 7464 18360 7591 16560 7898 17640 8077 16920 8077 7560 8742 16200 9202 20160 9381 17640 9636 17640 9713 16560 9739 14400 9892 16200 10429 18360 10557 17640 11681 17640 11707 15840 11656 9000 12320 17640 12832 17640 12934 18360 13266 16560 13317 15840 13573 17640 13675 16920 13701 13320 13956 9000 14544 16560 14953 19800 15132 17280 15439 17280 15490 16920 15490 14040 15746 17280 16104 18360 16283 16560 16947 17640 17791 17640 17867 16920 17893 15480 18046 16920 18506 18360 18634 17280 19273 18000 19810 17640 20424 18000 21497 17280 21523 9360 21318 6480" fillcolor="silver" stroked="f">
          <v:textpath style="font-family:&quot;Arial&quot;;font-size:1pt" string="Confidential draft fo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9398E"/>
    <w:multiLevelType w:val="hybridMultilevel"/>
    <w:tmpl w:val="739C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A3EB9"/>
    <w:multiLevelType w:val="hybridMultilevel"/>
    <w:tmpl w:val="8F0AF26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9F4197"/>
    <w:multiLevelType w:val="hybridMultilevel"/>
    <w:tmpl w:val="E68E98E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6" w15:restartNumberingAfterBreak="0">
    <w:nsid w:val="16BA1A56"/>
    <w:multiLevelType w:val="hybridMultilevel"/>
    <w:tmpl w:val="E132B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A0EBF"/>
    <w:multiLevelType w:val="hybridMultilevel"/>
    <w:tmpl w:val="70B41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2858E0"/>
    <w:multiLevelType w:val="hybridMultilevel"/>
    <w:tmpl w:val="943C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F37B4"/>
    <w:multiLevelType w:val="hybridMultilevel"/>
    <w:tmpl w:val="8084B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24CB8"/>
    <w:multiLevelType w:val="hybridMultilevel"/>
    <w:tmpl w:val="F11C5CFC"/>
    <w:lvl w:ilvl="0" w:tplc="ACFA7ED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EB0A7D"/>
    <w:multiLevelType w:val="hybridMultilevel"/>
    <w:tmpl w:val="374E3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C41CBE"/>
    <w:multiLevelType w:val="hybridMultilevel"/>
    <w:tmpl w:val="B7D28A86"/>
    <w:lvl w:ilvl="0" w:tplc="74DEDA4A">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CB2038DA">
      <w:start w:val="1"/>
      <w:numFmt w:val="bullet"/>
      <w:lvlText w:val=""/>
      <w:lvlJc w:val="left"/>
      <w:pPr>
        <w:ind w:left="2160" w:hanging="360"/>
      </w:pPr>
      <w:rPr>
        <w:rFonts w:ascii="Wingdings" w:hAnsi="Wingdings"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13" w15:restartNumberingAfterBreak="0">
    <w:nsid w:val="40A0066A"/>
    <w:multiLevelType w:val="hybridMultilevel"/>
    <w:tmpl w:val="6F208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A74DCC"/>
    <w:multiLevelType w:val="hybridMultilevel"/>
    <w:tmpl w:val="1C568CA8"/>
    <w:lvl w:ilvl="0" w:tplc="7BBA2D5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4A5FA5"/>
    <w:multiLevelType w:val="hybridMultilevel"/>
    <w:tmpl w:val="5A3E73EE"/>
    <w:lvl w:ilvl="0" w:tplc="F8F2ED16">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27040B"/>
    <w:multiLevelType w:val="hybridMultilevel"/>
    <w:tmpl w:val="7E282E7A"/>
    <w:lvl w:ilvl="0" w:tplc="88161C06">
      <w:start w:val="1"/>
      <w:numFmt w:val="bullet"/>
      <w:lvlText w:val=""/>
      <w:lvlJc w:val="left"/>
      <w:pPr>
        <w:ind w:left="720" w:hanging="360"/>
      </w:pPr>
      <w:rPr>
        <w:rFonts w:ascii="Symbol" w:hAnsi="Symbol" w:hint="default"/>
      </w:rPr>
    </w:lvl>
    <w:lvl w:ilvl="1" w:tplc="72EA0C9C">
      <w:start w:val="1"/>
      <w:numFmt w:val="bullet"/>
      <w:lvlText w:val="o"/>
      <w:lvlJc w:val="left"/>
      <w:pPr>
        <w:ind w:left="1440" w:hanging="360"/>
      </w:pPr>
      <w:rPr>
        <w:rFonts w:ascii="Courier New" w:hAnsi="Courier New" w:hint="default"/>
      </w:rPr>
    </w:lvl>
    <w:lvl w:ilvl="2" w:tplc="09A42AC8">
      <w:start w:val="1"/>
      <w:numFmt w:val="bullet"/>
      <w:lvlText w:val=""/>
      <w:lvlJc w:val="left"/>
      <w:pPr>
        <w:ind w:left="2160" w:hanging="360"/>
      </w:pPr>
      <w:rPr>
        <w:rFonts w:ascii="Wingdings" w:hAnsi="Wingdings" w:hint="default"/>
      </w:rPr>
    </w:lvl>
    <w:lvl w:ilvl="3" w:tplc="835A7CC4">
      <w:start w:val="1"/>
      <w:numFmt w:val="bullet"/>
      <w:lvlText w:val=""/>
      <w:lvlJc w:val="left"/>
      <w:pPr>
        <w:ind w:left="2880" w:hanging="360"/>
      </w:pPr>
      <w:rPr>
        <w:rFonts w:ascii="Symbol" w:hAnsi="Symbol" w:hint="default"/>
      </w:rPr>
    </w:lvl>
    <w:lvl w:ilvl="4" w:tplc="CF22BFDA">
      <w:start w:val="1"/>
      <w:numFmt w:val="bullet"/>
      <w:lvlText w:val="o"/>
      <w:lvlJc w:val="left"/>
      <w:pPr>
        <w:ind w:left="3600" w:hanging="360"/>
      </w:pPr>
      <w:rPr>
        <w:rFonts w:ascii="Courier New" w:hAnsi="Courier New" w:hint="default"/>
      </w:rPr>
    </w:lvl>
    <w:lvl w:ilvl="5" w:tplc="A5C4E7C6">
      <w:start w:val="1"/>
      <w:numFmt w:val="bullet"/>
      <w:lvlText w:val=""/>
      <w:lvlJc w:val="left"/>
      <w:pPr>
        <w:ind w:left="4320" w:hanging="360"/>
      </w:pPr>
      <w:rPr>
        <w:rFonts w:ascii="Wingdings" w:hAnsi="Wingdings" w:hint="default"/>
      </w:rPr>
    </w:lvl>
    <w:lvl w:ilvl="6" w:tplc="38A2124E">
      <w:start w:val="1"/>
      <w:numFmt w:val="bullet"/>
      <w:lvlText w:val=""/>
      <w:lvlJc w:val="left"/>
      <w:pPr>
        <w:ind w:left="5040" w:hanging="360"/>
      </w:pPr>
      <w:rPr>
        <w:rFonts w:ascii="Symbol" w:hAnsi="Symbol" w:hint="default"/>
      </w:rPr>
    </w:lvl>
    <w:lvl w:ilvl="7" w:tplc="8B3E7420">
      <w:start w:val="1"/>
      <w:numFmt w:val="bullet"/>
      <w:lvlText w:val="o"/>
      <w:lvlJc w:val="left"/>
      <w:pPr>
        <w:ind w:left="5760" w:hanging="360"/>
      </w:pPr>
      <w:rPr>
        <w:rFonts w:ascii="Courier New" w:hAnsi="Courier New" w:hint="default"/>
      </w:rPr>
    </w:lvl>
    <w:lvl w:ilvl="8" w:tplc="4A540E4E">
      <w:start w:val="1"/>
      <w:numFmt w:val="bullet"/>
      <w:lvlText w:val=""/>
      <w:lvlJc w:val="left"/>
      <w:pPr>
        <w:ind w:left="6480" w:hanging="360"/>
      </w:pPr>
      <w:rPr>
        <w:rFonts w:ascii="Wingdings" w:hAnsi="Wingdings" w:hint="default"/>
      </w:rPr>
    </w:lvl>
  </w:abstractNum>
  <w:abstractNum w:abstractNumId="17" w15:restartNumberingAfterBreak="0">
    <w:nsid w:val="68C232D2"/>
    <w:multiLevelType w:val="hybridMultilevel"/>
    <w:tmpl w:val="D3D8B058"/>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18" w15:restartNumberingAfterBreak="0">
    <w:nsid w:val="6BE86774"/>
    <w:multiLevelType w:val="hybridMultilevel"/>
    <w:tmpl w:val="2A96082C"/>
    <w:lvl w:ilvl="0" w:tplc="DF28C6B0">
      <w:start w:val="1"/>
      <w:numFmt w:val="bullet"/>
      <w:lvlText w:val=""/>
      <w:lvlJc w:val="left"/>
      <w:pPr>
        <w:ind w:left="720" w:hanging="360"/>
      </w:pPr>
      <w:rPr>
        <w:rFonts w:ascii="Symbol" w:hAnsi="Symbol" w:hint="default"/>
      </w:rPr>
    </w:lvl>
    <w:lvl w:ilvl="1" w:tplc="EAA0B6F8">
      <w:start w:val="1"/>
      <w:numFmt w:val="bullet"/>
      <w:lvlText w:val="o"/>
      <w:lvlJc w:val="left"/>
      <w:pPr>
        <w:ind w:left="1440" w:hanging="360"/>
      </w:pPr>
      <w:rPr>
        <w:rFonts w:ascii="Courier New" w:hAnsi="Courier New" w:hint="default"/>
      </w:rPr>
    </w:lvl>
    <w:lvl w:ilvl="2" w:tplc="F792282E">
      <w:start w:val="1"/>
      <w:numFmt w:val="bullet"/>
      <w:lvlText w:val=""/>
      <w:lvlJc w:val="left"/>
      <w:pPr>
        <w:ind w:left="2160" w:hanging="360"/>
      </w:pPr>
      <w:rPr>
        <w:rFonts w:ascii="Wingdings" w:hAnsi="Wingdings" w:hint="default"/>
      </w:rPr>
    </w:lvl>
    <w:lvl w:ilvl="3" w:tplc="F8463932">
      <w:start w:val="1"/>
      <w:numFmt w:val="bullet"/>
      <w:lvlText w:val=""/>
      <w:lvlJc w:val="left"/>
      <w:pPr>
        <w:ind w:left="2880" w:hanging="360"/>
      </w:pPr>
      <w:rPr>
        <w:rFonts w:ascii="Symbol" w:hAnsi="Symbol" w:hint="default"/>
      </w:rPr>
    </w:lvl>
    <w:lvl w:ilvl="4" w:tplc="8E54914A">
      <w:start w:val="1"/>
      <w:numFmt w:val="bullet"/>
      <w:lvlText w:val="o"/>
      <w:lvlJc w:val="left"/>
      <w:pPr>
        <w:ind w:left="3600" w:hanging="360"/>
      </w:pPr>
      <w:rPr>
        <w:rFonts w:ascii="Courier New" w:hAnsi="Courier New" w:hint="default"/>
      </w:rPr>
    </w:lvl>
    <w:lvl w:ilvl="5" w:tplc="422E62E2">
      <w:start w:val="1"/>
      <w:numFmt w:val="bullet"/>
      <w:lvlText w:val=""/>
      <w:lvlJc w:val="left"/>
      <w:pPr>
        <w:ind w:left="4320" w:hanging="360"/>
      </w:pPr>
      <w:rPr>
        <w:rFonts w:ascii="Wingdings" w:hAnsi="Wingdings" w:hint="default"/>
      </w:rPr>
    </w:lvl>
    <w:lvl w:ilvl="6" w:tplc="09068D48">
      <w:start w:val="1"/>
      <w:numFmt w:val="bullet"/>
      <w:lvlText w:val=""/>
      <w:lvlJc w:val="left"/>
      <w:pPr>
        <w:ind w:left="5040" w:hanging="360"/>
      </w:pPr>
      <w:rPr>
        <w:rFonts w:ascii="Symbol" w:hAnsi="Symbol" w:hint="default"/>
      </w:rPr>
    </w:lvl>
    <w:lvl w:ilvl="7" w:tplc="80688BAE">
      <w:start w:val="1"/>
      <w:numFmt w:val="bullet"/>
      <w:lvlText w:val="o"/>
      <w:lvlJc w:val="left"/>
      <w:pPr>
        <w:ind w:left="5760" w:hanging="360"/>
      </w:pPr>
      <w:rPr>
        <w:rFonts w:ascii="Courier New" w:hAnsi="Courier New" w:hint="default"/>
      </w:rPr>
    </w:lvl>
    <w:lvl w:ilvl="8" w:tplc="2B269CE6">
      <w:start w:val="1"/>
      <w:numFmt w:val="bullet"/>
      <w:lvlText w:val=""/>
      <w:lvlJc w:val="left"/>
      <w:pPr>
        <w:ind w:left="6480" w:hanging="360"/>
      </w:pPr>
      <w:rPr>
        <w:rFonts w:ascii="Wingdings" w:hAnsi="Wingdings" w:hint="default"/>
      </w:rPr>
    </w:lvl>
  </w:abstractNum>
  <w:abstractNum w:abstractNumId="19" w15:restartNumberingAfterBreak="0">
    <w:nsid w:val="6C734161"/>
    <w:multiLevelType w:val="hybridMultilevel"/>
    <w:tmpl w:val="A9D0FA08"/>
    <w:lvl w:ilvl="0" w:tplc="74DEDA4A">
      <w:start w:val="1"/>
      <w:numFmt w:val="bullet"/>
      <w:lvlText w:val=""/>
      <w:lvlJc w:val="left"/>
      <w:pPr>
        <w:ind w:left="720" w:hanging="360"/>
      </w:pPr>
      <w:rPr>
        <w:rFonts w:ascii="Symbol" w:hAnsi="Symbol" w:hint="default"/>
      </w:rPr>
    </w:lvl>
    <w:lvl w:ilvl="1" w:tplc="E2F69B0C">
      <w:start w:val="1"/>
      <w:numFmt w:val="bullet"/>
      <w:lvlText w:val="o"/>
      <w:lvlJc w:val="left"/>
      <w:pPr>
        <w:ind w:left="1440" w:hanging="360"/>
      </w:pPr>
      <w:rPr>
        <w:rFonts w:ascii="Courier New" w:hAnsi="Courier New" w:hint="default"/>
      </w:rPr>
    </w:lvl>
    <w:lvl w:ilvl="2" w:tplc="E2F69B0C">
      <w:start w:val="1"/>
      <w:numFmt w:val="bullet"/>
      <w:lvlText w:val="o"/>
      <w:lvlJc w:val="left"/>
      <w:pPr>
        <w:ind w:left="2160" w:hanging="360"/>
      </w:pPr>
      <w:rPr>
        <w:rFonts w:ascii="Courier New" w:hAnsi="Courier New" w:hint="default"/>
      </w:rPr>
    </w:lvl>
    <w:lvl w:ilvl="3" w:tplc="84E6D238">
      <w:start w:val="1"/>
      <w:numFmt w:val="bullet"/>
      <w:lvlText w:val=""/>
      <w:lvlJc w:val="left"/>
      <w:pPr>
        <w:ind w:left="2880" w:hanging="360"/>
      </w:pPr>
      <w:rPr>
        <w:rFonts w:ascii="Symbol" w:hAnsi="Symbol" w:hint="default"/>
      </w:rPr>
    </w:lvl>
    <w:lvl w:ilvl="4" w:tplc="6F940908">
      <w:start w:val="1"/>
      <w:numFmt w:val="bullet"/>
      <w:lvlText w:val="o"/>
      <w:lvlJc w:val="left"/>
      <w:pPr>
        <w:ind w:left="3600" w:hanging="360"/>
      </w:pPr>
      <w:rPr>
        <w:rFonts w:ascii="Courier New" w:hAnsi="Courier New" w:hint="default"/>
      </w:rPr>
    </w:lvl>
    <w:lvl w:ilvl="5" w:tplc="FBC8DFD2">
      <w:start w:val="1"/>
      <w:numFmt w:val="bullet"/>
      <w:lvlText w:val=""/>
      <w:lvlJc w:val="left"/>
      <w:pPr>
        <w:ind w:left="4320" w:hanging="360"/>
      </w:pPr>
      <w:rPr>
        <w:rFonts w:ascii="Wingdings" w:hAnsi="Wingdings" w:hint="default"/>
      </w:rPr>
    </w:lvl>
    <w:lvl w:ilvl="6" w:tplc="3040519C">
      <w:start w:val="1"/>
      <w:numFmt w:val="bullet"/>
      <w:lvlText w:val=""/>
      <w:lvlJc w:val="left"/>
      <w:pPr>
        <w:ind w:left="5040" w:hanging="360"/>
      </w:pPr>
      <w:rPr>
        <w:rFonts w:ascii="Symbol" w:hAnsi="Symbol" w:hint="default"/>
      </w:rPr>
    </w:lvl>
    <w:lvl w:ilvl="7" w:tplc="25F22B52">
      <w:start w:val="1"/>
      <w:numFmt w:val="bullet"/>
      <w:lvlText w:val="o"/>
      <w:lvlJc w:val="left"/>
      <w:pPr>
        <w:ind w:left="5760" w:hanging="360"/>
      </w:pPr>
      <w:rPr>
        <w:rFonts w:ascii="Courier New" w:hAnsi="Courier New" w:hint="default"/>
      </w:rPr>
    </w:lvl>
    <w:lvl w:ilvl="8" w:tplc="5B52CF04">
      <w:start w:val="1"/>
      <w:numFmt w:val="bullet"/>
      <w:lvlText w:val=""/>
      <w:lvlJc w:val="left"/>
      <w:pPr>
        <w:ind w:left="6480" w:hanging="360"/>
      </w:pPr>
      <w:rPr>
        <w:rFonts w:ascii="Wingdings" w:hAnsi="Wingdings" w:hint="default"/>
      </w:rPr>
    </w:lvl>
  </w:abstractNum>
  <w:abstractNum w:abstractNumId="20" w15:restartNumberingAfterBreak="0">
    <w:nsid w:val="6F5D01BF"/>
    <w:multiLevelType w:val="hybridMultilevel"/>
    <w:tmpl w:val="D772E052"/>
    <w:lvl w:ilvl="0" w:tplc="534875D6">
      <w:start w:val="1"/>
      <w:numFmt w:val="bullet"/>
      <w:pStyle w:val="Dash"/>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 w15:restartNumberingAfterBreak="0">
    <w:nsid w:val="7793217E"/>
    <w:multiLevelType w:val="hybridMultilevel"/>
    <w:tmpl w:val="2CF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67C11"/>
    <w:multiLevelType w:val="hybridMultilevel"/>
    <w:tmpl w:val="5A9CAE74"/>
    <w:lvl w:ilvl="0" w:tplc="2A6827A0">
      <w:start w:val="1"/>
      <w:numFmt w:val="lowerLetter"/>
      <w:pStyle w:val="Lett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0E1879"/>
    <w:multiLevelType w:val="hybridMultilevel"/>
    <w:tmpl w:val="44E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51BDD"/>
    <w:multiLevelType w:val="hybridMultilevel"/>
    <w:tmpl w:val="2B3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14"/>
  </w:num>
  <w:num w:numId="5">
    <w:abstractNumId w:val="22"/>
  </w:num>
  <w:num w:numId="6">
    <w:abstractNumId w:val="15"/>
  </w:num>
  <w:num w:numId="7">
    <w:abstractNumId w:val="20"/>
  </w:num>
  <w:num w:numId="8">
    <w:abstractNumId w:val="10"/>
  </w:num>
  <w:num w:numId="9">
    <w:abstractNumId w:val="9"/>
  </w:num>
  <w:num w:numId="10">
    <w:abstractNumId w:val="4"/>
  </w:num>
  <w:num w:numId="11">
    <w:abstractNumId w:val="24"/>
  </w:num>
  <w:num w:numId="12">
    <w:abstractNumId w:val="0"/>
  </w:num>
  <w:num w:numId="13">
    <w:abstractNumId w:val="1"/>
  </w:num>
  <w:num w:numId="14">
    <w:abstractNumId w:val="2"/>
  </w:num>
  <w:num w:numId="15">
    <w:abstractNumId w:val="6"/>
  </w:num>
  <w:num w:numId="16">
    <w:abstractNumId w:val="7"/>
  </w:num>
  <w:num w:numId="17">
    <w:abstractNumId w:val="17"/>
  </w:num>
  <w:num w:numId="18">
    <w:abstractNumId w:val="3"/>
  </w:num>
  <w:num w:numId="19">
    <w:abstractNumId w:val="12"/>
  </w:num>
  <w:num w:numId="20">
    <w:abstractNumId w:val="19"/>
  </w:num>
  <w:num w:numId="21">
    <w:abstractNumId w:val="21"/>
  </w:num>
  <w:num w:numId="22">
    <w:abstractNumId w:val="8"/>
  </w:num>
  <w:num w:numId="23">
    <w:abstractNumId w:val="23"/>
  </w:num>
  <w:num w:numId="24">
    <w:abstractNumId w:val="13"/>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CB"/>
    <w:rsid w:val="000077E3"/>
    <w:rsid w:val="00014164"/>
    <w:rsid w:val="000145CF"/>
    <w:rsid w:val="00015F89"/>
    <w:rsid w:val="00016094"/>
    <w:rsid w:val="0001628A"/>
    <w:rsid w:val="00017B4A"/>
    <w:rsid w:val="000200CA"/>
    <w:rsid w:val="00020634"/>
    <w:rsid w:val="00020D62"/>
    <w:rsid w:val="000224B0"/>
    <w:rsid w:val="00026DCA"/>
    <w:rsid w:val="00027F52"/>
    <w:rsid w:val="00030BAB"/>
    <w:rsid w:val="00032733"/>
    <w:rsid w:val="0003363B"/>
    <w:rsid w:val="00034A96"/>
    <w:rsid w:val="00035E9C"/>
    <w:rsid w:val="000404E4"/>
    <w:rsid w:val="0004133E"/>
    <w:rsid w:val="0004240E"/>
    <w:rsid w:val="00043508"/>
    <w:rsid w:val="00043D45"/>
    <w:rsid w:val="000459F8"/>
    <w:rsid w:val="000544A2"/>
    <w:rsid w:val="0005481A"/>
    <w:rsid w:val="00057E6B"/>
    <w:rsid w:val="000646BA"/>
    <w:rsid w:val="00065362"/>
    <w:rsid w:val="00065BBF"/>
    <w:rsid w:val="0007174A"/>
    <w:rsid w:val="0007242B"/>
    <w:rsid w:val="000727E9"/>
    <w:rsid w:val="00073304"/>
    <w:rsid w:val="00074658"/>
    <w:rsid w:val="00075A28"/>
    <w:rsid w:val="00077AEA"/>
    <w:rsid w:val="0008286D"/>
    <w:rsid w:val="000847CB"/>
    <w:rsid w:val="000854B6"/>
    <w:rsid w:val="00085FE5"/>
    <w:rsid w:val="000928C6"/>
    <w:rsid w:val="00092A27"/>
    <w:rsid w:val="00097519"/>
    <w:rsid w:val="00097DEA"/>
    <w:rsid w:val="000A243F"/>
    <w:rsid w:val="000A2C54"/>
    <w:rsid w:val="000A37FF"/>
    <w:rsid w:val="000A491E"/>
    <w:rsid w:val="000A57FA"/>
    <w:rsid w:val="000B0346"/>
    <w:rsid w:val="000B139E"/>
    <w:rsid w:val="000B3B35"/>
    <w:rsid w:val="000B4B80"/>
    <w:rsid w:val="000B60F8"/>
    <w:rsid w:val="000B6473"/>
    <w:rsid w:val="000C1EEE"/>
    <w:rsid w:val="000D00A7"/>
    <w:rsid w:val="000D22F2"/>
    <w:rsid w:val="000D391E"/>
    <w:rsid w:val="000D4AB1"/>
    <w:rsid w:val="000E1103"/>
    <w:rsid w:val="000E1EFD"/>
    <w:rsid w:val="000E214A"/>
    <w:rsid w:val="000E5367"/>
    <w:rsid w:val="000E5F36"/>
    <w:rsid w:val="000F3924"/>
    <w:rsid w:val="000F55BD"/>
    <w:rsid w:val="000F616B"/>
    <w:rsid w:val="0010177B"/>
    <w:rsid w:val="00102803"/>
    <w:rsid w:val="00103964"/>
    <w:rsid w:val="001055D9"/>
    <w:rsid w:val="0010630D"/>
    <w:rsid w:val="00106DA2"/>
    <w:rsid w:val="00107CC5"/>
    <w:rsid w:val="00111F4D"/>
    <w:rsid w:val="00117A81"/>
    <w:rsid w:val="00121C15"/>
    <w:rsid w:val="00123921"/>
    <w:rsid w:val="00124CE5"/>
    <w:rsid w:val="001259A2"/>
    <w:rsid w:val="00125B9C"/>
    <w:rsid w:val="00126CDB"/>
    <w:rsid w:val="0013019C"/>
    <w:rsid w:val="00131DD0"/>
    <w:rsid w:val="00134954"/>
    <w:rsid w:val="00135AB8"/>
    <w:rsid w:val="00137838"/>
    <w:rsid w:val="00146C15"/>
    <w:rsid w:val="00147D52"/>
    <w:rsid w:val="00150FC2"/>
    <w:rsid w:val="001526F3"/>
    <w:rsid w:val="00154331"/>
    <w:rsid w:val="00161DCF"/>
    <w:rsid w:val="001632DF"/>
    <w:rsid w:val="00165BD9"/>
    <w:rsid w:val="00167A2F"/>
    <w:rsid w:val="001706E3"/>
    <w:rsid w:val="001708DD"/>
    <w:rsid w:val="001733D6"/>
    <w:rsid w:val="0017429F"/>
    <w:rsid w:val="00174DB0"/>
    <w:rsid w:val="00181393"/>
    <w:rsid w:val="00185980"/>
    <w:rsid w:val="00191FDB"/>
    <w:rsid w:val="001922FA"/>
    <w:rsid w:val="0019396B"/>
    <w:rsid w:val="00193A92"/>
    <w:rsid w:val="00195E14"/>
    <w:rsid w:val="00196570"/>
    <w:rsid w:val="00197E3F"/>
    <w:rsid w:val="001A0526"/>
    <w:rsid w:val="001A1634"/>
    <w:rsid w:val="001A6D17"/>
    <w:rsid w:val="001A6E8B"/>
    <w:rsid w:val="001A7510"/>
    <w:rsid w:val="001B02E5"/>
    <w:rsid w:val="001B0B31"/>
    <w:rsid w:val="001B112C"/>
    <w:rsid w:val="001B1409"/>
    <w:rsid w:val="001B1DD4"/>
    <w:rsid w:val="001B1F24"/>
    <w:rsid w:val="001B294A"/>
    <w:rsid w:val="001B6685"/>
    <w:rsid w:val="001C0C85"/>
    <w:rsid w:val="001C0CBA"/>
    <w:rsid w:val="001C11D7"/>
    <w:rsid w:val="001C213A"/>
    <w:rsid w:val="001C7589"/>
    <w:rsid w:val="001D0878"/>
    <w:rsid w:val="001D2A36"/>
    <w:rsid w:val="001D316A"/>
    <w:rsid w:val="001D3547"/>
    <w:rsid w:val="001D5AB7"/>
    <w:rsid w:val="001D5EF7"/>
    <w:rsid w:val="001E0D82"/>
    <w:rsid w:val="001E1BE1"/>
    <w:rsid w:val="001F376F"/>
    <w:rsid w:val="001F4C8C"/>
    <w:rsid w:val="001F4D54"/>
    <w:rsid w:val="001F66E5"/>
    <w:rsid w:val="0020122F"/>
    <w:rsid w:val="00202E75"/>
    <w:rsid w:val="00205985"/>
    <w:rsid w:val="00207B3D"/>
    <w:rsid w:val="00211709"/>
    <w:rsid w:val="00211B85"/>
    <w:rsid w:val="0021458C"/>
    <w:rsid w:val="002152AC"/>
    <w:rsid w:val="00215D86"/>
    <w:rsid w:val="00215DDF"/>
    <w:rsid w:val="0021678E"/>
    <w:rsid w:val="00216BF7"/>
    <w:rsid w:val="00221FA5"/>
    <w:rsid w:val="00223AD6"/>
    <w:rsid w:val="00231C62"/>
    <w:rsid w:val="00233397"/>
    <w:rsid w:val="00235FEC"/>
    <w:rsid w:val="00237F32"/>
    <w:rsid w:val="00240052"/>
    <w:rsid w:val="0024195D"/>
    <w:rsid w:val="00242D33"/>
    <w:rsid w:val="00244951"/>
    <w:rsid w:val="0024605E"/>
    <w:rsid w:val="00247CCC"/>
    <w:rsid w:val="00250753"/>
    <w:rsid w:val="0025348E"/>
    <w:rsid w:val="002600C2"/>
    <w:rsid w:val="00260448"/>
    <w:rsid w:val="0026054E"/>
    <w:rsid w:val="00263C6A"/>
    <w:rsid w:val="002651ED"/>
    <w:rsid w:val="00266F20"/>
    <w:rsid w:val="00267206"/>
    <w:rsid w:val="00274BCB"/>
    <w:rsid w:val="0027579D"/>
    <w:rsid w:val="002834EB"/>
    <w:rsid w:val="002854D0"/>
    <w:rsid w:val="00286284"/>
    <w:rsid w:val="00287767"/>
    <w:rsid w:val="0029024A"/>
    <w:rsid w:val="00290E3E"/>
    <w:rsid w:val="002911FD"/>
    <w:rsid w:val="00292659"/>
    <w:rsid w:val="002A40BB"/>
    <w:rsid w:val="002A4C36"/>
    <w:rsid w:val="002A612B"/>
    <w:rsid w:val="002A6AF1"/>
    <w:rsid w:val="002B2FBD"/>
    <w:rsid w:val="002B3480"/>
    <w:rsid w:val="002B3D3C"/>
    <w:rsid w:val="002B41B5"/>
    <w:rsid w:val="002B5260"/>
    <w:rsid w:val="002B549E"/>
    <w:rsid w:val="002B5667"/>
    <w:rsid w:val="002C0F62"/>
    <w:rsid w:val="002C2136"/>
    <w:rsid w:val="002C2DCF"/>
    <w:rsid w:val="002C3B02"/>
    <w:rsid w:val="002C4DA9"/>
    <w:rsid w:val="002C5145"/>
    <w:rsid w:val="002D2421"/>
    <w:rsid w:val="002D74AC"/>
    <w:rsid w:val="002D75EE"/>
    <w:rsid w:val="002D7E91"/>
    <w:rsid w:val="002E1289"/>
    <w:rsid w:val="002E1B51"/>
    <w:rsid w:val="002E2FA3"/>
    <w:rsid w:val="002E2FEA"/>
    <w:rsid w:val="002E481C"/>
    <w:rsid w:val="002E53F1"/>
    <w:rsid w:val="002E5E3E"/>
    <w:rsid w:val="002E67D5"/>
    <w:rsid w:val="002E69BA"/>
    <w:rsid w:val="002E69C8"/>
    <w:rsid w:val="002E778C"/>
    <w:rsid w:val="002F1526"/>
    <w:rsid w:val="002F1B73"/>
    <w:rsid w:val="002F3DA9"/>
    <w:rsid w:val="002F4644"/>
    <w:rsid w:val="0030314C"/>
    <w:rsid w:val="003041F7"/>
    <w:rsid w:val="0030704E"/>
    <w:rsid w:val="00310194"/>
    <w:rsid w:val="003154B1"/>
    <w:rsid w:val="003168F3"/>
    <w:rsid w:val="00316C88"/>
    <w:rsid w:val="0032031F"/>
    <w:rsid w:val="00322F45"/>
    <w:rsid w:val="0032404C"/>
    <w:rsid w:val="0032565C"/>
    <w:rsid w:val="00325E86"/>
    <w:rsid w:val="003310AB"/>
    <w:rsid w:val="0033159B"/>
    <w:rsid w:val="00331D9C"/>
    <w:rsid w:val="00334488"/>
    <w:rsid w:val="00335A56"/>
    <w:rsid w:val="00337330"/>
    <w:rsid w:val="00337B16"/>
    <w:rsid w:val="00341422"/>
    <w:rsid w:val="00341844"/>
    <w:rsid w:val="00341877"/>
    <w:rsid w:val="00347B3C"/>
    <w:rsid w:val="00352279"/>
    <w:rsid w:val="0035518C"/>
    <w:rsid w:val="003553EA"/>
    <w:rsid w:val="003648C8"/>
    <w:rsid w:val="00365488"/>
    <w:rsid w:val="00365B32"/>
    <w:rsid w:val="00365F48"/>
    <w:rsid w:val="003671D2"/>
    <w:rsid w:val="00367D39"/>
    <w:rsid w:val="00372029"/>
    <w:rsid w:val="00380A2B"/>
    <w:rsid w:val="00382085"/>
    <w:rsid w:val="00382AE9"/>
    <w:rsid w:val="003923B1"/>
    <w:rsid w:val="003925BD"/>
    <w:rsid w:val="00393BE1"/>
    <w:rsid w:val="0039437F"/>
    <w:rsid w:val="0039492C"/>
    <w:rsid w:val="00395FD3"/>
    <w:rsid w:val="00396151"/>
    <w:rsid w:val="00396890"/>
    <w:rsid w:val="003A2CE9"/>
    <w:rsid w:val="003A54B8"/>
    <w:rsid w:val="003A5954"/>
    <w:rsid w:val="003A798A"/>
    <w:rsid w:val="003B09CE"/>
    <w:rsid w:val="003B0AE6"/>
    <w:rsid w:val="003B0C35"/>
    <w:rsid w:val="003B2854"/>
    <w:rsid w:val="003B2DBC"/>
    <w:rsid w:val="003B59DC"/>
    <w:rsid w:val="003C0482"/>
    <w:rsid w:val="003C500D"/>
    <w:rsid w:val="003C7686"/>
    <w:rsid w:val="003D0F68"/>
    <w:rsid w:val="003D11C2"/>
    <w:rsid w:val="003D1C54"/>
    <w:rsid w:val="003D3050"/>
    <w:rsid w:val="003D3AF2"/>
    <w:rsid w:val="003D5F44"/>
    <w:rsid w:val="003E62C0"/>
    <w:rsid w:val="003E7A03"/>
    <w:rsid w:val="003F04A4"/>
    <w:rsid w:val="003F3AA6"/>
    <w:rsid w:val="003F3B69"/>
    <w:rsid w:val="003F3BC4"/>
    <w:rsid w:val="003F4843"/>
    <w:rsid w:val="003F66EF"/>
    <w:rsid w:val="00400E2A"/>
    <w:rsid w:val="00401494"/>
    <w:rsid w:val="00402508"/>
    <w:rsid w:val="00407115"/>
    <w:rsid w:val="00407330"/>
    <w:rsid w:val="00412602"/>
    <w:rsid w:val="00414C25"/>
    <w:rsid w:val="00415B6B"/>
    <w:rsid w:val="004261EA"/>
    <w:rsid w:val="00431DA8"/>
    <w:rsid w:val="00442EA4"/>
    <w:rsid w:val="004439B1"/>
    <w:rsid w:val="00444179"/>
    <w:rsid w:val="00444F09"/>
    <w:rsid w:val="00445131"/>
    <w:rsid w:val="00446928"/>
    <w:rsid w:val="00446952"/>
    <w:rsid w:val="00446983"/>
    <w:rsid w:val="004470C5"/>
    <w:rsid w:val="00447EBD"/>
    <w:rsid w:val="00450420"/>
    <w:rsid w:val="004527AD"/>
    <w:rsid w:val="00452D72"/>
    <w:rsid w:val="00453BA2"/>
    <w:rsid w:val="00453F34"/>
    <w:rsid w:val="00453FE6"/>
    <w:rsid w:val="004541CB"/>
    <w:rsid w:val="0045451D"/>
    <w:rsid w:val="00454DF7"/>
    <w:rsid w:val="004551B0"/>
    <w:rsid w:val="00455759"/>
    <w:rsid w:val="0045596E"/>
    <w:rsid w:val="00455F9D"/>
    <w:rsid w:val="00463535"/>
    <w:rsid w:val="00463DBF"/>
    <w:rsid w:val="00464D6A"/>
    <w:rsid w:val="00467542"/>
    <w:rsid w:val="00473ACB"/>
    <w:rsid w:val="00474C9E"/>
    <w:rsid w:val="00476B0C"/>
    <w:rsid w:val="00481815"/>
    <w:rsid w:val="00485F7B"/>
    <w:rsid w:val="0049045F"/>
    <w:rsid w:val="00492213"/>
    <w:rsid w:val="004A4E77"/>
    <w:rsid w:val="004A6413"/>
    <w:rsid w:val="004B1E53"/>
    <w:rsid w:val="004B2584"/>
    <w:rsid w:val="004B29D2"/>
    <w:rsid w:val="004B2D1E"/>
    <w:rsid w:val="004B6020"/>
    <w:rsid w:val="004B6BEB"/>
    <w:rsid w:val="004B6EDE"/>
    <w:rsid w:val="004B7623"/>
    <w:rsid w:val="004C07AA"/>
    <w:rsid w:val="004C0BB4"/>
    <w:rsid w:val="004C47B8"/>
    <w:rsid w:val="004C5BA1"/>
    <w:rsid w:val="004C5D76"/>
    <w:rsid w:val="004D11A0"/>
    <w:rsid w:val="004D20D2"/>
    <w:rsid w:val="004D2D28"/>
    <w:rsid w:val="004D7952"/>
    <w:rsid w:val="004E340D"/>
    <w:rsid w:val="004E54DB"/>
    <w:rsid w:val="004E596E"/>
    <w:rsid w:val="004F003D"/>
    <w:rsid w:val="004F1F94"/>
    <w:rsid w:val="004F2E0D"/>
    <w:rsid w:val="004F45AB"/>
    <w:rsid w:val="004F6657"/>
    <w:rsid w:val="004F6BDA"/>
    <w:rsid w:val="00501FDB"/>
    <w:rsid w:val="00503A1F"/>
    <w:rsid w:val="00503E3D"/>
    <w:rsid w:val="0050606E"/>
    <w:rsid w:val="00507939"/>
    <w:rsid w:val="005116EE"/>
    <w:rsid w:val="005142C7"/>
    <w:rsid w:val="00515825"/>
    <w:rsid w:val="0051594B"/>
    <w:rsid w:val="0051790A"/>
    <w:rsid w:val="0052404D"/>
    <w:rsid w:val="00530EC8"/>
    <w:rsid w:val="0053242C"/>
    <w:rsid w:val="00533C85"/>
    <w:rsid w:val="0053430B"/>
    <w:rsid w:val="005366F5"/>
    <w:rsid w:val="00537828"/>
    <w:rsid w:val="00543CFE"/>
    <w:rsid w:val="00550250"/>
    <w:rsid w:val="0055165C"/>
    <w:rsid w:val="00553F1E"/>
    <w:rsid w:val="005544CB"/>
    <w:rsid w:val="0055697A"/>
    <w:rsid w:val="00556CDC"/>
    <w:rsid w:val="00557C92"/>
    <w:rsid w:val="00560A21"/>
    <w:rsid w:val="00564BF7"/>
    <w:rsid w:val="0056534D"/>
    <w:rsid w:val="005657B2"/>
    <w:rsid w:val="00566C14"/>
    <w:rsid w:val="0057270F"/>
    <w:rsid w:val="00573374"/>
    <w:rsid w:val="00573EE8"/>
    <w:rsid w:val="00574716"/>
    <w:rsid w:val="00575718"/>
    <w:rsid w:val="0058121E"/>
    <w:rsid w:val="00582383"/>
    <w:rsid w:val="005827DE"/>
    <w:rsid w:val="005830CC"/>
    <w:rsid w:val="00584F24"/>
    <w:rsid w:val="0058726A"/>
    <w:rsid w:val="00587832"/>
    <w:rsid w:val="00587BDD"/>
    <w:rsid w:val="005910A9"/>
    <w:rsid w:val="005910C0"/>
    <w:rsid w:val="00592554"/>
    <w:rsid w:val="00592BC0"/>
    <w:rsid w:val="00596228"/>
    <w:rsid w:val="005A1A9E"/>
    <w:rsid w:val="005A30FB"/>
    <w:rsid w:val="005A4F0F"/>
    <w:rsid w:val="005B21FC"/>
    <w:rsid w:val="005B3C85"/>
    <w:rsid w:val="005B44F3"/>
    <w:rsid w:val="005B5B68"/>
    <w:rsid w:val="005B780D"/>
    <w:rsid w:val="005C188E"/>
    <w:rsid w:val="005C2CA1"/>
    <w:rsid w:val="005C2FC7"/>
    <w:rsid w:val="005C33CF"/>
    <w:rsid w:val="005C5734"/>
    <w:rsid w:val="005D0B53"/>
    <w:rsid w:val="005D1949"/>
    <w:rsid w:val="005D1F73"/>
    <w:rsid w:val="005D2C16"/>
    <w:rsid w:val="005D40B5"/>
    <w:rsid w:val="005D5287"/>
    <w:rsid w:val="005E13F5"/>
    <w:rsid w:val="005E2A7C"/>
    <w:rsid w:val="005F0E43"/>
    <w:rsid w:val="005F5022"/>
    <w:rsid w:val="005F511D"/>
    <w:rsid w:val="005F72CD"/>
    <w:rsid w:val="00600F81"/>
    <w:rsid w:val="006016EB"/>
    <w:rsid w:val="0060208A"/>
    <w:rsid w:val="00604819"/>
    <w:rsid w:val="00606E53"/>
    <w:rsid w:val="006100BF"/>
    <w:rsid w:val="00610B76"/>
    <w:rsid w:val="0061267B"/>
    <w:rsid w:val="00612D94"/>
    <w:rsid w:val="00612DA9"/>
    <w:rsid w:val="00612FAE"/>
    <w:rsid w:val="0061352B"/>
    <w:rsid w:val="00622872"/>
    <w:rsid w:val="006261BE"/>
    <w:rsid w:val="00626C9E"/>
    <w:rsid w:val="00632A34"/>
    <w:rsid w:val="00634752"/>
    <w:rsid w:val="006404DE"/>
    <w:rsid w:val="0064538E"/>
    <w:rsid w:val="00646EE6"/>
    <w:rsid w:val="00653CFE"/>
    <w:rsid w:val="00656628"/>
    <w:rsid w:val="00656677"/>
    <w:rsid w:val="00656F4D"/>
    <w:rsid w:val="00657A0C"/>
    <w:rsid w:val="0066084C"/>
    <w:rsid w:val="00664AF8"/>
    <w:rsid w:val="00664FE0"/>
    <w:rsid w:val="0067294F"/>
    <w:rsid w:val="0067537F"/>
    <w:rsid w:val="006816F8"/>
    <w:rsid w:val="0068242E"/>
    <w:rsid w:val="006824FE"/>
    <w:rsid w:val="00684D2F"/>
    <w:rsid w:val="00684D4B"/>
    <w:rsid w:val="00685477"/>
    <w:rsid w:val="00687A37"/>
    <w:rsid w:val="00690FCF"/>
    <w:rsid w:val="00692CC3"/>
    <w:rsid w:val="00693161"/>
    <w:rsid w:val="00693230"/>
    <w:rsid w:val="00695CA9"/>
    <w:rsid w:val="00697177"/>
    <w:rsid w:val="006A4357"/>
    <w:rsid w:val="006B00BB"/>
    <w:rsid w:val="006B293E"/>
    <w:rsid w:val="006B321D"/>
    <w:rsid w:val="006B3C54"/>
    <w:rsid w:val="006B59D6"/>
    <w:rsid w:val="006C13D4"/>
    <w:rsid w:val="006C40FD"/>
    <w:rsid w:val="006C492E"/>
    <w:rsid w:val="006C4B9C"/>
    <w:rsid w:val="006C57BF"/>
    <w:rsid w:val="006C6978"/>
    <w:rsid w:val="006D02C3"/>
    <w:rsid w:val="006D0738"/>
    <w:rsid w:val="006D0D66"/>
    <w:rsid w:val="006D1433"/>
    <w:rsid w:val="006D2BA1"/>
    <w:rsid w:val="006D40E5"/>
    <w:rsid w:val="006E20C1"/>
    <w:rsid w:val="006E545A"/>
    <w:rsid w:val="006E5E02"/>
    <w:rsid w:val="006F3079"/>
    <w:rsid w:val="006F45B9"/>
    <w:rsid w:val="006F49AB"/>
    <w:rsid w:val="006F4DD1"/>
    <w:rsid w:val="006F66B9"/>
    <w:rsid w:val="00702603"/>
    <w:rsid w:val="00702A66"/>
    <w:rsid w:val="00702C2A"/>
    <w:rsid w:val="0070464D"/>
    <w:rsid w:val="00705B36"/>
    <w:rsid w:val="007070E6"/>
    <w:rsid w:val="00712D67"/>
    <w:rsid w:val="00713F9F"/>
    <w:rsid w:val="0071711C"/>
    <w:rsid w:val="00724477"/>
    <w:rsid w:val="00730F13"/>
    <w:rsid w:val="007318F5"/>
    <w:rsid w:val="007326F9"/>
    <w:rsid w:val="00732A36"/>
    <w:rsid w:val="00736E37"/>
    <w:rsid w:val="00740084"/>
    <w:rsid w:val="00742531"/>
    <w:rsid w:val="00743DC5"/>
    <w:rsid w:val="007464AB"/>
    <w:rsid w:val="00746E78"/>
    <w:rsid w:val="007476CC"/>
    <w:rsid w:val="00751124"/>
    <w:rsid w:val="0075323E"/>
    <w:rsid w:val="00755DCE"/>
    <w:rsid w:val="00762DE9"/>
    <w:rsid w:val="007634FD"/>
    <w:rsid w:val="0076521A"/>
    <w:rsid w:val="00771EEA"/>
    <w:rsid w:val="00771F4C"/>
    <w:rsid w:val="0077471E"/>
    <w:rsid w:val="00780A7A"/>
    <w:rsid w:val="00782C31"/>
    <w:rsid w:val="00784158"/>
    <w:rsid w:val="0079534C"/>
    <w:rsid w:val="00797E80"/>
    <w:rsid w:val="007A28D9"/>
    <w:rsid w:val="007A2E85"/>
    <w:rsid w:val="007A55D2"/>
    <w:rsid w:val="007A5876"/>
    <w:rsid w:val="007A674D"/>
    <w:rsid w:val="007A6A9F"/>
    <w:rsid w:val="007B12AE"/>
    <w:rsid w:val="007B2E95"/>
    <w:rsid w:val="007C5A9F"/>
    <w:rsid w:val="007C756B"/>
    <w:rsid w:val="007D1448"/>
    <w:rsid w:val="007D1892"/>
    <w:rsid w:val="007D3A4F"/>
    <w:rsid w:val="007D4095"/>
    <w:rsid w:val="007D4E52"/>
    <w:rsid w:val="007D50DF"/>
    <w:rsid w:val="007D79EF"/>
    <w:rsid w:val="007E2B5A"/>
    <w:rsid w:val="007E3F1B"/>
    <w:rsid w:val="007E57B4"/>
    <w:rsid w:val="007E7727"/>
    <w:rsid w:val="007E7A2C"/>
    <w:rsid w:val="007F19DE"/>
    <w:rsid w:val="007F222D"/>
    <w:rsid w:val="007F28F9"/>
    <w:rsid w:val="007F6222"/>
    <w:rsid w:val="007F6692"/>
    <w:rsid w:val="007F6850"/>
    <w:rsid w:val="007F7851"/>
    <w:rsid w:val="007F799F"/>
    <w:rsid w:val="007F7B7A"/>
    <w:rsid w:val="008048B4"/>
    <w:rsid w:val="00806487"/>
    <w:rsid w:val="00812C2D"/>
    <w:rsid w:val="00812FF7"/>
    <w:rsid w:val="00813DB8"/>
    <w:rsid w:val="0081459A"/>
    <w:rsid w:val="00814780"/>
    <w:rsid w:val="008152FA"/>
    <w:rsid w:val="00816350"/>
    <w:rsid w:val="008202F6"/>
    <w:rsid w:val="00820349"/>
    <w:rsid w:val="008228CE"/>
    <w:rsid w:val="00822C7D"/>
    <w:rsid w:val="00825758"/>
    <w:rsid w:val="00826835"/>
    <w:rsid w:val="00826ADB"/>
    <w:rsid w:val="008320F6"/>
    <w:rsid w:val="00832735"/>
    <w:rsid w:val="0083316E"/>
    <w:rsid w:val="00834154"/>
    <w:rsid w:val="008367F9"/>
    <w:rsid w:val="008407D8"/>
    <w:rsid w:val="00840E06"/>
    <w:rsid w:val="008459F8"/>
    <w:rsid w:val="00845C32"/>
    <w:rsid w:val="0085261B"/>
    <w:rsid w:val="00852F4D"/>
    <w:rsid w:val="00853BE2"/>
    <w:rsid w:val="008549F3"/>
    <w:rsid w:val="0086235C"/>
    <w:rsid w:val="00863ACB"/>
    <w:rsid w:val="00863C0A"/>
    <w:rsid w:val="00866A61"/>
    <w:rsid w:val="0087014C"/>
    <w:rsid w:val="00871645"/>
    <w:rsid w:val="00871F6D"/>
    <w:rsid w:val="00874B08"/>
    <w:rsid w:val="00875CF3"/>
    <w:rsid w:val="0087720C"/>
    <w:rsid w:val="008814DB"/>
    <w:rsid w:val="008843FD"/>
    <w:rsid w:val="0088539F"/>
    <w:rsid w:val="0088607C"/>
    <w:rsid w:val="0088758B"/>
    <w:rsid w:val="00894437"/>
    <w:rsid w:val="00895432"/>
    <w:rsid w:val="00895A60"/>
    <w:rsid w:val="008961FC"/>
    <w:rsid w:val="00896700"/>
    <w:rsid w:val="008967C8"/>
    <w:rsid w:val="00896DA9"/>
    <w:rsid w:val="008A323F"/>
    <w:rsid w:val="008A7329"/>
    <w:rsid w:val="008A7A12"/>
    <w:rsid w:val="008B010D"/>
    <w:rsid w:val="008B18D6"/>
    <w:rsid w:val="008B43C8"/>
    <w:rsid w:val="008B73CF"/>
    <w:rsid w:val="008B7BA1"/>
    <w:rsid w:val="008C0236"/>
    <w:rsid w:val="008C369A"/>
    <w:rsid w:val="008C51EC"/>
    <w:rsid w:val="008C6FF7"/>
    <w:rsid w:val="008D49BE"/>
    <w:rsid w:val="008E0B7B"/>
    <w:rsid w:val="008E31CF"/>
    <w:rsid w:val="008E440B"/>
    <w:rsid w:val="008E60AD"/>
    <w:rsid w:val="008F34D0"/>
    <w:rsid w:val="008F3F82"/>
    <w:rsid w:val="008F4AB1"/>
    <w:rsid w:val="008F4D3B"/>
    <w:rsid w:val="008F585C"/>
    <w:rsid w:val="008F66C5"/>
    <w:rsid w:val="00901FA4"/>
    <w:rsid w:val="00902454"/>
    <w:rsid w:val="00903E32"/>
    <w:rsid w:val="009065BF"/>
    <w:rsid w:val="00912995"/>
    <w:rsid w:val="00914283"/>
    <w:rsid w:val="00914621"/>
    <w:rsid w:val="00914A85"/>
    <w:rsid w:val="00917BA2"/>
    <w:rsid w:val="00920157"/>
    <w:rsid w:val="00921A66"/>
    <w:rsid w:val="00924FC6"/>
    <w:rsid w:val="00930448"/>
    <w:rsid w:val="00930D8C"/>
    <w:rsid w:val="00931021"/>
    <w:rsid w:val="0093366C"/>
    <w:rsid w:val="00933724"/>
    <w:rsid w:val="0094022F"/>
    <w:rsid w:val="00941176"/>
    <w:rsid w:val="00941542"/>
    <w:rsid w:val="009415FF"/>
    <w:rsid w:val="0094225B"/>
    <w:rsid w:val="00947ECB"/>
    <w:rsid w:val="0095105C"/>
    <w:rsid w:val="00951749"/>
    <w:rsid w:val="00954A69"/>
    <w:rsid w:val="009615C9"/>
    <w:rsid w:val="00961817"/>
    <w:rsid w:val="00961B6D"/>
    <w:rsid w:val="009643E5"/>
    <w:rsid w:val="00964F00"/>
    <w:rsid w:val="009655D9"/>
    <w:rsid w:val="00965A88"/>
    <w:rsid w:val="00967234"/>
    <w:rsid w:val="00967880"/>
    <w:rsid w:val="00971CBB"/>
    <w:rsid w:val="00971F08"/>
    <w:rsid w:val="00971FA4"/>
    <w:rsid w:val="009742BF"/>
    <w:rsid w:val="009755B4"/>
    <w:rsid w:val="00975ED0"/>
    <w:rsid w:val="009832B3"/>
    <w:rsid w:val="0098580D"/>
    <w:rsid w:val="0099207F"/>
    <w:rsid w:val="0099603E"/>
    <w:rsid w:val="00997998"/>
    <w:rsid w:val="009A09C7"/>
    <w:rsid w:val="009A2EF7"/>
    <w:rsid w:val="009A54BF"/>
    <w:rsid w:val="009A5D2E"/>
    <w:rsid w:val="009A5ED8"/>
    <w:rsid w:val="009A6F1C"/>
    <w:rsid w:val="009B22A7"/>
    <w:rsid w:val="009B2D5B"/>
    <w:rsid w:val="009B3668"/>
    <w:rsid w:val="009B46A9"/>
    <w:rsid w:val="009B47CC"/>
    <w:rsid w:val="009B6B2D"/>
    <w:rsid w:val="009C01F1"/>
    <w:rsid w:val="009C056D"/>
    <w:rsid w:val="009C21DB"/>
    <w:rsid w:val="009C29B2"/>
    <w:rsid w:val="009C3CD4"/>
    <w:rsid w:val="009C5F01"/>
    <w:rsid w:val="009C6695"/>
    <w:rsid w:val="009C771C"/>
    <w:rsid w:val="009D1CD4"/>
    <w:rsid w:val="009E165E"/>
    <w:rsid w:val="009E3544"/>
    <w:rsid w:val="009E6480"/>
    <w:rsid w:val="009F0B77"/>
    <w:rsid w:val="009F0D12"/>
    <w:rsid w:val="009F1903"/>
    <w:rsid w:val="009F6ADF"/>
    <w:rsid w:val="009F73EE"/>
    <w:rsid w:val="00A0088B"/>
    <w:rsid w:val="00A0183F"/>
    <w:rsid w:val="00A03A1E"/>
    <w:rsid w:val="00A1514D"/>
    <w:rsid w:val="00A15435"/>
    <w:rsid w:val="00A16E0E"/>
    <w:rsid w:val="00A172E4"/>
    <w:rsid w:val="00A227D4"/>
    <w:rsid w:val="00A25E43"/>
    <w:rsid w:val="00A27DA1"/>
    <w:rsid w:val="00A30C98"/>
    <w:rsid w:val="00A320FA"/>
    <w:rsid w:val="00A321DA"/>
    <w:rsid w:val="00A323FD"/>
    <w:rsid w:val="00A34290"/>
    <w:rsid w:val="00A3604A"/>
    <w:rsid w:val="00A362C9"/>
    <w:rsid w:val="00A365E1"/>
    <w:rsid w:val="00A37EEB"/>
    <w:rsid w:val="00A432DA"/>
    <w:rsid w:val="00A43705"/>
    <w:rsid w:val="00A4373E"/>
    <w:rsid w:val="00A43A50"/>
    <w:rsid w:val="00A45E7E"/>
    <w:rsid w:val="00A47110"/>
    <w:rsid w:val="00A478E0"/>
    <w:rsid w:val="00A52D29"/>
    <w:rsid w:val="00A53E0A"/>
    <w:rsid w:val="00A55ED3"/>
    <w:rsid w:val="00A56AB3"/>
    <w:rsid w:val="00A60595"/>
    <w:rsid w:val="00A6075C"/>
    <w:rsid w:val="00A61176"/>
    <w:rsid w:val="00A63924"/>
    <w:rsid w:val="00A6472F"/>
    <w:rsid w:val="00A747E6"/>
    <w:rsid w:val="00A74D1B"/>
    <w:rsid w:val="00A77F2B"/>
    <w:rsid w:val="00A8300C"/>
    <w:rsid w:val="00A8430F"/>
    <w:rsid w:val="00A84CA1"/>
    <w:rsid w:val="00A857DB"/>
    <w:rsid w:val="00A85895"/>
    <w:rsid w:val="00A92956"/>
    <w:rsid w:val="00A93025"/>
    <w:rsid w:val="00A93AB2"/>
    <w:rsid w:val="00A95D8F"/>
    <w:rsid w:val="00A960B3"/>
    <w:rsid w:val="00AA183E"/>
    <w:rsid w:val="00AA1B99"/>
    <w:rsid w:val="00AA23C8"/>
    <w:rsid w:val="00AA7CE7"/>
    <w:rsid w:val="00AA7E2C"/>
    <w:rsid w:val="00AB0D53"/>
    <w:rsid w:val="00AB0FCE"/>
    <w:rsid w:val="00AB604A"/>
    <w:rsid w:val="00AB6FC8"/>
    <w:rsid w:val="00AB77B8"/>
    <w:rsid w:val="00AC00A2"/>
    <w:rsid w:val="00AC18BD"/>
    <w:rsid w:val="00AC2A9A"/>
    <w:rsid w:val="00AC4842"/>
    <w:rsid w:val="00AC717A"/>
    <w:rsid w:val="00AD70D5"/>
    <w:rsid w:val="00AE26F4"/>
    <w:rsid w:val="00AE273C"/>
    <w:rsid w:val="00AE41E8"/>
    <w:rsid w:val="00AF2636"/>
    <w:rsid w:val="00AF483A"/>
    <w:rsid w:val="00AF59FB"/>
    <w:rsid w:val="00AF68D4"/>
    <w:rsid w:val="00AF6CE7"/>
    <w:rsid w:val="00AF6E97"/>
    <w:rsid w:val="00B001BB"/>
    <w:rsid w:val="00B00EEC"/>
    <w:rsid w:val="00B0194E"/>
    <w:rsid w:val="00B01D2F"/>
    <w:rsid w:val="00B01FA2"/>
    <w:rsid w:val="00B038E0"/>
    <w:rsid w:val="00B0433C"/>
    <w:rsid w:val="00B04C4A"/>
    <w:rsid w:val="00B06968"/>
    <w:rsid w:val="00B1060E"/>
    <w:rsid w:val="00B10F46"/>
    <w:rsid w:val="00B16DE4"/>
    <w:rsid w:val="00B17A53"/>
    <w:rsid w:val="00B17E2E"/>
    <w:rsid w:val="00B2223E"/>
    <w:rsid w:val="00B2386A"/>
    <w:rsid w:val="00B26565"/>
    <w:rsid w:val="00B26DBB"/>
    <w:rsid w:val="00B3078D"/>
    <w:rsid w:val="00B314B3"/>
    <w:rsid w:val="00B31CEF"/>
    <w:rsid w:val="00B32065"/>
    <w:rsid w:val="00B36144"/>
    <w:rsid w:val="00B37B33"/>
    <w:rsid w:val="00B44A86"/>
    <w:rsid w:val="00B44B1B"/>
    <w:rsid w:val="00B46FEF"/>
    <w:rsid w:val="00B500E1"/>
    <w:rsid w:val="00B50D25"/>
    <w:rsid w:val="00B539E8"/>
    <w:rsid w:val="00B545E3"/>
    <w:rsid w:val="00B55099"/>
    <w:rsid w:val="00B66570"/>
    <w:rsid w:val="00B67121"/>
    <w:rsid w:val="00B7023E"/>
    <w:rsid w:val="00B7410E"/>
    <w:rsid w:val="00B76ACE"/>
    <w:rsid w:val="00B83B49"/>
    <w:rsid w:val="00B84C73"/>
    <w:rsid w:val="00B94B60"/>
    <w:rsid w:val="00B9589E"/>
    <w:rsid w:val="00B9731E"/>
    <w:rsid w:val="00BA1510"/>
    <w:rsid w:val="00BA5CE5"/>
    <w:rsid w:val="00BA6E2B"/>
    <w:rsid w:val="00BB0A35"/>
    <w:rsid w:val="00BB0D4F"/>
    <w:rsid w:val="00BB11FE"/>
    <w:rsid w:val="00BB27F5"/>
    <w:rsid w:val="00BB3347"/>
    <w:rsid w:val="00BB79FD"/>
    <w:rsid w:val="00BC12B6"/>
    <w:rsid w:val="00BC400A"/>
    <w:rsid w:val="00BC43B0"/>
    <w:rsid w:val="00BC4FDC"/>
    <w:rsid w:val="00BD2D31"/>
    <w:rsid w:val="00BD5D57"/>
    <w:rsid w:val="00BD7089"/>
    <w:rsid w:val="00BE014F"/>
    <w:rsid w:val="00BE43B8"/>
    <w:rsid w:val="00BE44FE"/>
    <w:rsid w:val="00BE60EB"/>
    <w:rsid w:val="00BE64D2"/>
    <w:rsid w:val="00BF1A1D"/>
    <w:rsid w:val="00BF2BA0"/>
    <w:rsid w:val="00BF3661"/>
    <w:rsid w:val="00BF647C"/>
    <w:rsid w:val="00C01F1F"/>
    <w:rsid w:val="00C021C1"/>
    <w:rsid w:val="00C06BD7"/>
    <w:rsid w:val="00C0787B"/>
    <w:rsid w:val="00C113A4"/>
    <w:rsid w:val="00C11FD9"/>
    <w:rsid w:val="00C2167C"/>
    <w:rsid w:val="00C22A49"/>
    <w:rsid w:val="00C25A45"/>
    <w:rsid w:val="00C27B63"/>
    <w:rsid w:val="00C27D3E"/>
    <w:rsid w:val="00C32BA8"/>
    <w:rsid w:val="00C36F4D"/>
    <w:rsid w:val="00C42E79"/>
    <w:rsid w:val="00C43354"/>
    <w:rsid w:val="00C4554C"/>
    <w:rsid w:val="00C506B5"/>
    <w:rsid w:val="00C54447"/>
    <w:rsid w:val="00C55BD4"/>
    <w:rsid w:val="00C57D38"/>
    <w:rsid w:val="00C6119C"/>
    <w:rsid w:val="00C66BE0"/>
    <w:rsid w:val="00C676C6"/>
    <w:rsid w:val="00C67B6F"/>
    <w:rsid w:val="00C70952"/>
    <w:rsid w:val="00C72179"/>
    <w:rsid w:val="00C776BE"/>
    <w:rsid w:val="00C81DF1"/>
    <w:rsid w:val="00C83E3B"/>
    <w:rsid w:val="00C83FE2"/>
    <w:rsid w:val="00C9006E"/>
    <w:rsid w:val="00C91A01"/>
    <w:rsid w:val="00C91B08"/>
    <w:rsid w:val="00C91D4C"/>
    <w:rsid w:val="00C92A11"/>
    <w:rsid w:val="00C9416A"/>
    <w:rsid w:val="00C942B7"/>
    <w:rsid w:val="00C95432"/>
    <w:rsid w:val="00C96E63"/>
    <w:rsid w:val="00C97F89"/>
    <w:rsid w:val="00CA0879"/>
    <w:rsid w:val="00CA3131"/>
    <w:rsid w:val="00CA37D2"/>
    <w:rsid w:val="00CA5372"/>
    <w:rsid w:val="00CA5BCB"/>
    <w:rsid w:val="00CB1E95"/>
    <w:rsid w:val="00CB1FE4"/>
    <w:rsid w:val="00CB27C9"/>
    <w:rsid w:val="00CB3F70"/>
    <w:rsid w:val="00CB4200"/>
    <w:rsid w:val="00CB4661"/>
    <w:rsid w:val="00CB5D02"/>
    <w:rsid w:val="00CB762F"/>
    <w:rsid w:val="00CB7A64"/>
    <w:rsid w:val="00CC4276"/>
    <w:rsid w:val="00CC5D7F"/>
    <w:rsid w:val="00CC634E"/>
    <w:rsid w:val="00CC6429"/>
    <w:rsid w:val="00CC721F"/>
    <w:rsid w:val="00CD01F5"/>
    <w:rsid w:val="00CD0CDD"/>
    <w:rsid w:val="00CD379B"/>
    <w:rsid w:val="00CD7BD0"/>
    <w:rsid w:val="00CE0185"/>
    <w:rsid w:val="00CE73B1"/>
    <w:rsid w:val="00CF01D4"/>
    <w:rsid w:val="00CF2121"/>
    <w:rsid w:val="00CF4067"/>
    <w:rsid w:val="00CF4B09"/>
    <w:rsid w:val="00CF5EDF"/>
    <w:rsid w:val="00CF7702"/>
    <w:rsid w:val="00D03726"/>
    <w:rsid w:val="00D03F17"/>
    <w:rsid w:val="00D06027"/>
    <w:rsid w:val="00D10266"/>
    <w:rsid w:val="00D11473"/>
    <w:rsid w:val="00D1299D"/>
    <w:rsid w:val="00D13A92"/>
    <w:rsid w:val="00D13E71"/>
    <w:rsid w:val="00D17F1E"/>
    <w:rsid w:val="00D21164"/>
    <w:rsid w:val="00D21466"/>
    <w:rsid w:val="00D22002"/>
    <w:rsid w:val="00D23B69"/>
    <w:rsid w:val="00D24BDD"/>
    <w:rsid w:val="00D310DC"/>
    <w:rsid w:val="00D314FC"/>
    <w:rsid w:val="00D31DFE"/>
    <w:rsid w:val="00D32826"/>
    <w:rsid w:val="00D33CAA"/>
    <w:rsid w:val="00D357AA"/>
    <w:rsid w:val="00D36044"/>
    <w:rsid w:val="00D368BD"/>
    <w:rsid w:val="00D40F1B"/>
    <w:rsid w:val="00D41595"/>
    <w:rsid w:val="00D429DF"/>
    <w:rsid w:val="00D43F1E"/>
    <w:rsid w:val="00D455D0"/>
    <w:rsid w:val="00D45D79"/>
    <w:rsid w:val="00D517BD"/>
    <w:rsid w:val="00D5345F"/>
    <w:rsid w:val="00D53E4C"/>
    <w:rsid w:val="00D54298"/>
    <w:rsid w:val="00D54843"/>
    <w:rsid w:val="00D56D3B"/>
    <w:rsid w:val="00D62A76"/>
    <w:rsid w:val="00D636CC"/>
    <w:rsid w:val="00D64A25"/>
    <w:rsid w:val="00D72687"/>
    <w:rsid w:val="00D72A26"/>
    <w:rsid w:val="00D72DB7"/>
    <w:rsid w:val="00D72FA8"/>
    <w:rsid w:val="00D749CF"/>
    <w:rsid w:val="00D74D8B"/>
    <w:rsid w:val="00D767E4"/>
    <w:rsid w:val="00D76F8A"/>
    <w:rsid w:val="00D830A2"/>
    <w:rsid w:val="00D8462C"/>
    <w:rsid w:val="00D84DD3"/>
    <w:rsid w:val="00D91ABD"/>
    <w:rsid w:val="00D9241D"/>
    <w:rsid w:val="00D93AC3"/>
    <w:rsid w:val="00DA3376"/>
    <w:rsid w:val="00DA38B3"/>
    <w:rsid w:val="00DA734E"/>
    <w:rsid w:val="00DB0A13"/>
    <w:rsid w:val="00DB310A"/>
    <w:rsid w:val="00DB589E"/>
    <w:rsid w:val="00DB76D9"/>
    <w:rsid w:val="00DB79B3"/>
    <w:rsid w:val="00DC0806"/>
    <w:rsid w:val="00DC0FD4"/>
    <w:rsid w:val="00DC25FD"/>
    <w:rsid w:val="00DC3A5E"/>
    <w:rsid w:val="00DC412A"/>
    <w:rsid w:val="00DC5881"/>
    <w:rsid w:val="00DC6473"/>
    <w:rsid w:val="00DC761D"/>
    <w:rsid w:val="00DD4912"/>
    <w:rsid w:val="00DD4A93"/>
    <w:rsid w:val="00DD7606"/>
    <w:rsid w:val="00DE09CD"/>
    <w:rsid w:val="00DE23D7"/>
    <w:rsid w:val="00DE511D"/>
    <w:rsid w:val="00DE64E9"/>
    <w:rsid w:val="00DE6EC3"/>
    <w:rsid w:val="00DE76D3"/>
    <w:rsid w:val="00DF29A3"/>
    <w:rsid w:val="00DF304C"/>
    <w:rsid w:val="00DF5624"/>
    <w:rsid w:val="00DF5B35"/>
    <w:rsid w:val="00DF6092"/>
    <w:rsid w:val="00DF6D89"/>
    <w:rsid w:val="00E0448C"/>
    <w:rsid w:val="00E05E73"/>
    <w:rsid w:val="00E1322E"/>
    <w:rsid w:val="00E13B43"/>
    <w:rsid w:val="00E150C2"/>
    <w:rsid w:val="00E15923"/>
    <w:rsid w:val="00E16D63"/>
    <w:rsid w:val="00E2061C"/>
    <w:rsid w:val="00E20FE3"/>
    <w:rsid w:val="00E2117C"/>
    <w:rsid w:val="00E2479F"/>
    <w:rsid w:val="00E24EB5"/>
    <w:rsid w:val="00E252AD"/>
    <w:rsid w:val="00E30821"/>
    <w:rsid w:val="00E31D26"/>
    <w:rsid w:val="00E31EA6"/>
    <w:rsid w:val="00E34F48"/>
    <w:rsid w:val="00E4017C"/>
    <w:rsid w:val="00E40B63"/>
    <w:rsid w:val="00E4281F"/>
    <w:rsid w:val="00E42A59"/>
    <w:rsid w:val="00E43558"/>
    <w:rsid w:val="00E45228"/>
    <w:rsid w:val="00E4680E"/>
    <w:rsid w:val="00E51AC1"/>
    <w:rsid w:val="00E534AA"/>
    <w:rsid w:val="00E5478C"/>
    <w:rsid w:val="00E54AB2"/>
    <w:rsid w:val="00E60448"/>
    <w:rsid w:val="00E61432"/>
    <w:rsid w:val="00E629C1"/>
    <w:rsid w:val="00E65FF1"/>
    <w:rsid w:val="00E70470"/>
    <w:rsid w:val="00E70712"/>
    <w:rsid w:val="00E739A8"/>
    <w:rsid w:val="00E7448D"/>
    <w:rsid w:val="00E7717B"/>
    <w:rsid w:val="00E77606"/>
    <w:rsid w:val="00E906E3"/>
    <w:rsid w:val="00E92456"/>
    <w:rsid w:val="00E94141"/>
    <w:rsid w:val="00E95701"/>
    <w:rsid w:val="00EA0202"/>
    <w:rsid w:val="00EA1351"/>
    <w:rsid w:val="00EA61A0"/>
    <w:rsid w:val="00EA6B00"/>
    <w:rsid w:val="00EB29EA"/>
    <w:rsid w:val="00EB353E"/>
    <w:rsid w:val="00EB4CB7"/>
    <w:rsid w:val="00EB4D17"/>
    <w:rsid w:val="00EB6702"/>
    <w:rsid w:val="00EC1341"/>
    <w:rsid w:val="00EC1599"/>
    <w:rsid w:val="00EC5B4F"/>
    <w:rsid w:val="00EC64A3"/>
    <w:rsid w:val="00ED0AF7"/>
    <w:rsid w:val="00ED3859"/>
    <w:rsid w:val="00ED5441"/>
    <w:rsid w:val="00ED5BA8"/>
    <w:rsid w:val="00ED785C"/>
    <w:rsid w:val="00ED7C44"/>
    <w:rsid w:val="00EE01B2"/>
    <w:rsid w:val="00EE05DE"/>
    <w:rsid w:val="00EE4629"/>
    <w:rsid w:val="00EE4D7B"/>
    <w:rsid w:val="00EE6A07"/>
    <w:rsid w:val="00EE7318"/>
    <w:rsid w:val="00EE7490"/>
    <w:rsid w:val="00EF470C"/>
    <w:rsid w:val="00EF50BC"/>
    <w:rsid w:val="00EF6F12"/>
    <w:rsid w:val="00F02848"/>
    <w:rsid w:val="00F0332B"/>
    <w:rsid w:val="00F0388A"/>
    <w:rsid w:val="00F05CF6"/>
    <w:rsid w:val="00F0601E"/>
    <w:rsid w:val="00F0611D"/>
    <w:rsid w:val="00F0665A"/>
    <w:rsid w:val="00F10ACC"/>
    <w:rsid w:val="00F11D48"/>
    <w:rsid w:val="00F127E0"/>
    <w:rsid w:val="00F12CE9"/>
    <w:rsid w:val="00F14639"/>
    <w:rsid w:val="00F15705"/>
    <w:rsid w:val="00F200DC"/>
    <w:rsid w:val="00F20388"/>
    <w:rsid w:val="00F207AA"/>
    <w:rsid w:val="00F26A77"/>
    <w:rsid w:val="00F35379"/>
    <w:rsid w:val="00F35588"/>
    <w:rsid w:val="00F37A5D"/>
    <w:rsid w:val="00F427D2"/>
    <w:rsid w:val="00F43B58"/>
    <w:rsid w:val="00F46E0D"/>
    <w:rsid w:val="00F4739C"/>
    <w:rsid w:val="00F515B7"/>
    <w:rsid w:val="00F518D6"/>
    <w:rsid w:val="00F520BB"/>
    <w:rsid w:val="00F5507B"/>
    <w:rsid w:val="00F5607E"/>
    <w:rsid w:val="00F56321"/>
    <w:rsid w:val="00F56E7B"/>
    <w:rsid w:val="00F609A8"/>
    <w:rsid w:val="00F63309"/>
    <w:rsid w:val="00F65857"/>
    <w:rsid w:val="00F70ABA"/>
    <w:rsid w:val="00F70D4E"/>
    <w:rsid w:val="00F73345"/>
    <w:rsid w:val="00F736EB"/>
    <w:rsid w:val="00F75279"/>
    <w:rsid w:val="00F77052"/>
    <w:rsid w:val="00F8037B"/>
    <w:rsid w:val="00F8328F"/>
    <w:rsid w:val="00F84789"/>
    <w:rsid w:val="00F84A3D"/>
    <w:rsid w:val="00F874DA"/>
    <w:rsid w:val="00F914DC"/>
    <w:rsid w:val="00F97FDB"/>
    <w:rsid w:val="00FA2129"/>
    <w:rsid w:val="00FA3DE1"/>
    <w:rsid w:val="00FA477E"/>
    <w:rsid w:val="00FA490B"/>
    <w:rsid w:val="00FB2063"/>
    <w:rsid w:val="00FB3886"/>
    <w:rsid w:val="00FB5CDC"/>
    <w:rsid w:val="00FB6770"/>
    <w:rsid w:val="00FC0106"/>
    <w:rsid w:val="00FC0475"/>
    <w:rsid w:val="00FC16C3"/>
    <w:rsid w:val="00FC47E8"/>
    <w:rsid w:val="00FC67C1"/>
    <w:rsid w:val="00FC750E"/>
    <w:rsid w:val="00FD1AB3"/>
    <w:rsid w:val="00FD21D5"/>
    <w:rsid w:val="00FD5648"/>
    <w:rsid w:val="00FD5986"/>
    <w:rsid w:val="00FD6402"/>
    <w:rsid w:val="00FD77A1"/>
    <w:rsid w:val="00FE0A24"/>
    <w:rsid w:val="00FE1416"/>
    <w:rsid w:val="00FE3FDD"/>
    <w:rsid w:val="00FE4213"/>
    <w:rsid w:val="00FE5C16"/>
    <w:rsid w:val="00FE6A59"/>
    <w:rsid w:val="00FE7434"/>
    <w:rsid w:val="00FF01F1"/>
    <w:rsid w:val="00FF7A55"/>
    <w:rsid w:val="02AF1F27"/>
    <w:rsid w:val="0F0BD3AD"/>
    <w:rsid w:val="1505D6EF"/>
    <w:rsid w:val="15270E7A"/>
    <w:rsid w:val="1BFBF8FF"/>
    <w:rsid w:val="1C513FBB"/>
    <w:rsid w:val="210B7E85"/>
    <w:rsid w:val="23F14DB4"/>
    <w:rsid w:val="27BBBC97"/>
    <w:rsid w:val="2B3B8024"/>
    <w:rsid w:val="2F72C7C5"/>
    <w:rsid w:val="46D2C7A9"/>
    <w:rsid w:val="4B731483"/>
    <w:rsid w:val="4C88F2BE"/>
    <w:rsid w:val="67AEC011"/>
    <w:rsid w:val="6FD67C50"/>
    <w:rsid w:val="730B21A3"/>
    <w:rsid w:val="74DB93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4D230BC"/>
  <w15:docId w15:val="{5152512A-AD8E-4C69-8946-F2BC24C5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B00"/>
    <w:pPr>
      <w:spacing w:after="120"/>
    </w:pPr>
    <w:rPr>
      <w:rFonts w:ascii="Calibri" w:eastAsiaTheme="minorHAnsi" w:hAnsi="Calibri" w:cs="Times New Roman"/>
      <w:sz w:val="22"/>
      <w:szCs w:val="20"/>
    </w:rPr>
  </w:style>
  <w:style w:type="paragraph" w:styleId="Heading1">
    <w:name w:val="heading 1"/>
    <w:basedOn w:val="Normal"/>
    <w:next w:val="Normal"/>
    <w:link w:val="Heading1Char"/>
    <w:uiPriority w:val="9"/>
    <w:qFormat/>
    <w:rsid w:val="00CA5372"/>
    <w:pPr>
      <w:keepNext/>
      <w:keepLines/>
      <w:pBdr>
        <w:bottom w:val="single" w:sz="4" w:space="1" w:color="auto"/>
      </w:pBdr>
      <w:spacing w:before="600" w:after="400"/>
      <w:ind w:left="720" w:hanging="720"/>
      <w:outlineLvl w:val="0"/>
    </w:pPr>
    <w:rPr>
      <w:rFonts w:ascii="Chaparral Pro" w:eastAsiaTheme="majorEastAsia" w:hAnsi="Chaparral Pro" w:cstheme="majorBidi"/>
      <w:color w:val="244061" w:themeColor="accent1" w:themeShade="80"/>
      <w:sz w:val="56"/>
      <w:szCs w:val="32"/>
    </w:rPr>
  </w:style>
  <w:style w:type="paragraph" w:styleId="Heading2">
    <w:name w:val="heading 2"/>
    <w:basedOn w:val="Normal"/>
    <w:next w:val="Normal"/>
    <w:link w:val="Heading2Char"/>
    <w:autoRedefine/>
    <w:uiPriority w:val="9"/>
    <w:unhideWhenUsed/>
    <w:qFormat/>
    <w:rsid w:val="00D32826"/>
    <w:pPr>
      <w:keepNext/>
      <w:keepLines/>
      <w:tabs>
        <w:tab w:val="left" w:pos="1077"/>
      </w:tabs>
      <w:spacing w:before="240"/>
      <w:outlineLvl w:val="1"/>
    </w:pPr>
    <w:rPr>
      <w:rFonts w:eastAsiaTheme="majorEastAsia" w:cstheme="majorBidi"/>
      <w:b/>
      <w:color w:val="0070C0"/>
      <w:sz w:val="32"/>
      <w:szCs w:val="32"/>
    </w:rPr>
  </w:style>
  <w:style w:type="paragraph" w:styleId="Heading3">
    <w:name w:val="heading 3"/>
    <w:basedOn w:val="Normal"/>
    <w:next w:val="Normal"/>
    <w:link w:val="Heading3Char"/>
    <w:uiPriority w:val="9"/>
    <w:qFormat/>
    <w:rsid w:val="003E7A03"/>
    <w:pPr>
      <w:keepNext/>
      <w:keepLines/>
      <w:tabs>
        <w:tab w:val="left" w:pos="1077"/>
      </w:tabs>
      <w:spacing w:before="120"/>
      <w:ind w:left="720" w:hanging="720"/>
      <w:outlineLvl w:val="2"/>
    </w:pPr>
    <w:rPr>
      <w:rFonts w:ascii="Chaparral Pro" w:eastAsiaTheme="majorEastAsia" w:hAnsi="Chaparral Pro" w:cstheme="majorBidi"/>
      <w:color w:val="4A442A" w:themeColor="background2" w:themeShade="40"/>
      <w:sz w:val="28"/>
      <w:szCs w:val="24"/>
    </w:rPr>
  </w:style>
  <w:style w:type="paragraph" w:styleId="Heading4">
    <w:name w:val="heading 4"/>
    <w:basedOn w:val="Normal"/>
    <w:next w:val="Normal"/>
    <w:link w:val="Heading4Char"/>
    <w:uiPriority w:val="9"/>
    <w:unhideWhenUsed/>
    <w:qFormat/>
    <w:rsid w:val="007E2B5A"/>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7A03"/>
    <w:pPr>
      <w:spacing w:after="0"/>
    </w:pPr>
    <w:rPr>
      <w:rFonts w:eastAsiaTheme="minorEastAsia"/>
      <w:sz w:val="18"/>
      <w:lang w:val="en-US"/>
    </w:rPr>
  </w:style>
  <w:style w:type="character" w:customStyle="1" w:styleId="FootnoteTextChar">
    <w:name w:val="Footnote Text Char"/>
    <w:basedOn w:val="DefaultParagraphFont"/>
    <w:link w:val="FootnoteText"/>
    <w:uiPriority w:val="99"/>
    <w:rsid w:val="003E7A03"/>
    <w:rPr>
      <w:rFonts w:ascii="Segoe UI" w:hAnsi="Segoe UI" w:cs="Times New Roman"/>
      <w:sz w:val="18"/>
      <w:szCs w:val="20"/>
      <w:lang w:val="en-US"/>
    </w:rPr>
  </w:style>
  <w:style w:type="character" w:styleId="FootnoteReference">
    <w:name w:val="footnote reference"/>
    <w:basedOn w:val="DefaultParagraphFont"/>
    <w:uiPriority w:val="99"/>
    <w:unhideWhenUsed/>
    <w:rsid w:val="003E7A03"/>
    <w:rPr>
      <w:vertAlign w:val="superscript"/>
    </w:rPr>
  </w:style>
  <w:style w:type="character" w:customStyle="1" w:styleId="Heading2Char">
    <w:name w:val="Heading 2 Char"/>
    <w:basedOn w:val="DefaultParagraphFont"/>
    <w:link w:val="Heading2"/>
    <w:uiPriority w:val="9"/>
    <w:rsid w:val="00D32826"/>
    <w:rPr>
      <w:rFonts w:ascii="Calibri" w:eastAsiaTheme="majorEastAsia" w:hAnsi="Calibri" w:cstheme="majorBidi"/>
      <w:b/>
      <w:color w:val="0070C0"/>
      <w:sz w:val="32"/>
      <w:szCs w:val="32"/>
    </w:rPr>
  </w:style>
  <w:style w:type="character" w:customStyle="1" w:styleId="Heading1Char">
    <w:name w:val="Heading 1 Char"/>
    <w:basedOn w:val="DefaultParagraphFont"/>
    <w:link w:val="Heading1"/>
    <w:uiPriority w:val="9"/>
    <w:rsid w:val="00CA5372"/>
    <w:rPr>
      <w:rFonts w:ascii="Chaparral Pro" w:eastAsiaTheme="majorEastAsia" w:hAnsi="Chaparral Pro" w:cstheme="majorBidi"/>
      <w:color w:val="244061" w:themeColor="accent1" w:themeShade="80"/>
      <w:sz w:val="56"/>
      <w:szCs w:val="32"/>
    </w:rPr>
  </w:style>
  <w:style w:type="paragraph" w:styleId="ListParagraph">
    <w:name w:val="List Paragraph"/>
    <w:basedOn w:val="Normal"/>
    <w:uiPriority w:val="34"/>
    <w:qFormat/>
    <w:rsid w:val="00693230"/>
    <w:pPr>
      <w:ind w:left="720"/>
      <w:contextualSpacing/>
    </w:pPr>
  </w:style>
  <w:style w:type="paragraph" w:styleId="Title">
    <w:name w:val="Title"/>
    <w:basedOn w:val="Normal"/>
    <w:next w:val="Normal"/>
    <w:link w:val="TitleChar"/>
    <w:uiPriority w:val="10"/>
    <w:qFormat/>
    <w:rsid w:val="0004133E"/>
    <w:pPr>
      <w:spacing w:after="360"/>
      <w:contextualSpacing/>
      <w:jc w:val="right"/>
    </w:pPr>
    <w:rPr>
      <w:rFonts w:eastAsiaTheme="majorEastAsia" w:cstheme="majorBidi"/>
      <w:color w:val="244061" w:themeColor="accent1" w:themeShade="80"/>
      <w:spacing w:val="-10"/>
      <w:kern w:val="28"/>
      <w:sz w:val="72"/>
      <w:szCs w:val="56"/>
    </w:rPr>
  </w:style>
  <w:style w:type="character" w:customStyle="1" w:styleId="TitleChar">
    <w:name w:val="Title Char"/>
    <w:basedOn w:val="DefaultParagraphFont"/>
    <w:link w:val="Title"/>
    <w:uiPriority w:val="10"/>
    <w:rsid w:val="0004133E"/>
    <w:rPr>
      <w:rFonts w:ascii="Segoe UI" w:eastAsiaTheme="majorEastAsia" w:hAnsi="Segoe UI" w:cstheme="majorBidi"/>
      <w:color w:val="244061" w:themeColor="accent1" w:themeShade="80"/>
      <w:spacing w:val="-10"/>
      <w:kern w:val="28"/>
      <w:sz w:val="72"/>
      <w:szCs w:val="56"/>
    </w:rPr>
  </w:style>
  <w:style w:type="character" w:customStyle="1" w:styleId="Heading3Char">
    <w:name w:val="Heading 3 Char"/>
    <w:basedOn w:val="DefaultParagraphFont"/>
    <w:link w:val="Heading3"/>
    <w:uiPriority w:val="9"/>
    <w:rsid w:val="003E7A03"/>
    <w:rPr>
      <w:rFonts w:ascii="Chaparral Pro" w:eastAsiaTheme="majorEastAsia" w:hAnsi="Chaparral Pro" w:cstheme="majorBidi"/>
      <w:color w:val="4A442A" w:themeColor="background2" w:themeShade="40"/>
      <w:sz w:val="28"/>
    </w:rPr>
  </w:style>
  <w:style w:type="paragraph" w:styleId="Subtitle">
    <w:name w:val="Subtitle"/>
    <w:basedOn w:val="Normal"/>
    <w:next w:val="Normal"/>
    <w:link w:val="SubtitleChar"/>
    <w:uiPriority w:val="11"/>
    <w:qFormat/>
    <w:rsid w:val="006B321D"/>
    <w:pPr>
      <w:numPr>
        <w:ilvl w:val="1"/>
      </w:numPr>
    </w:pPr>
    <w:rPr>
      <w:rFonts w:eastAsiaTheme="majorEastAsia" w:cstheme="majorBidi"/>
      <w:b/>
      <w:iCs/>
      <w:color w:val="1F497D" w:themeColor="text2"/>
      <w:spacing w:val="15"/>
      <w:sz w:val="24"/>
    </w:rPr>
  </w:style>
  <w:style w:type="character" w:customStyle="1" w:styleId="SubtitleChar">
    <w:name w:val="Subtitle Char"/>
    <w:basedOn w:val="DefaultParagraphFont"/>
    <w:link w:val="Subtitle"/>
    <w:uiPriority w:val="11"/>
    <w:rsid w:val="006B321D"/>
    <w:rPr>
      <w:rFonts w:ascii="Arial" w:eastAsiaTheme="majorEastAsia" w:hAnsi="Arial" w:cstheme="majorBidi"/>
      <w:b/>
      <w:iCs/>
      <w:color w:val="1F497D" w:themeColor="text2"/>
      <w:spacing w:val="15"/>
    </w:rPr>
  </w:style>
  <w:style w:type="paragraph" w:styleId="BalloonText">
    <w:name w:val="Balloon Text"/>
    <w:basedOn w:val="Normal"/>
    <w:link w:val="BalloonTextChar"/>
    <w:uiPriority w:val="99"/>
    <w:semiHidden/>
    <w:unhideWhenUsed/>
    <w:rsid w:val="003E7A03"/>
    <w:pPr>
      <w:spacing w:after="0"/>
    </w:pPr>
    <w:rPr>
      <w:rFonts w:cs="Segoe UI"/>
      <w:sz w:val="18"/>
      <w:szCs w:val="18"/>
    </w:rPr>
  </w:style>
  <w:style w:type="character" w:customStyle="1" w:styleId="BalloonTextChar">
    <w:name w:val="Balloon Text Char"/>
    <w:basedOn w:val="DefaultParagraphFont"/>
    <w:link w:val="BalloonText"/>
    <w:uiPriority w:val="99"/>
    <w:semiHidden/>
    <w:rsid w:val="003E7A03"/>
    <w:rPr>
      <w:rFonts w:ascii="Segoe UI" w:eastAsiaTheme="minorHAnsi" w:hAnsi="Segoe UI" w:cs="Segoe UI"/>
      <w:sz w:val="18"/>
      <w:szCs w:val="18"/>
    </w:rPr>
  </w:style>
  <w:style w:type="character" w:styleId="Hyperlink">
    <w:name w:val="Hyperlink"/>
    <w:basedOn w:val="DefaultParagraphFont"/>
    <w:uiPriority w:val="99"/>
    <w:unhideWhenUsed/>
    <w:rsid w:val="003E7A03"/>
    <w:rPr>
      <w:color w:val="0000FF" w:themeColor="hyperlink"/>
      <w:u w:val="single"/>
    </w:rPr>
  </w:style>
  <w:style w:type="character" w:styleId="CommentReference">
    <w:name w:val="annotation reference"/>
    <w:basedOn w:val="DefaultParagraphFont"/>
    <w:uiPriority w:val="99"/>
    <w:unhideWhenUsed/>
    <w:rsid w:val="003E7A03"/>
    <w:rPr>
      <w:sz w:val="16"/>
      <w:szCs w:val="16"/>
    </w:rPr>
  </w:style>
  <w:style w:type="paragraph" w:styleId="CommentText">
    <w:name w:val="annotation text"/>
    <w:basedOn w:val="Normal"/>
    <w:link w:val="CommentTextChar"/>
    <w:uiPriority w:val="99"/>
    <w:unhideWhenUsed/>
    <w:rsid w:val="003E7A03"/>
    <w:rPr>
      <w:sz w:val="20"/>
    </w:rPr>
  </w:style>
  <w:style w:type="character" w:customStyle="1" w:styleId="CommentTextChar">
    <w:name w:val="Comment Text Char"/>
    <w:basedOn w:val="DefaultParagraphFont"/>
    <w:link w:val="CommentText"/>
    <w:uiPriority w:val="99"/>
    <w:rsid w:val="003E7A03"/>
    <w:rPr>
      <w:rFonts w:ascii="Segoe UI" w:eastAsiaTheme="minorHAnsi" w:hAnsi="Segoe UI" w:cs="Times New Roman"/>
      <w:sz w:val="20"/>
      <w:szCs w:val="20"/>
    </w:rPr>
  </w:style>
  <w:style w:type="character" w:styleId="FollowedHyperlink">
    <w:name w:val="FollowedHyperlink"/>
    <w:basedOn w:val="DefaultParagraphFont"/>
    <w:uiPriority w:val="99"/>
    <w:semiHidden/>
    <w:unhideWhenUsed/>
    <w:rsid w:val="00F200D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7A03"/>
    <w:rPr>
      <w:b/>
      <w:bCs/>
    </w:rPr>
  </w:style>
  <w:style w:type="character" w:customStyle="1" w:styleId="CommentSubjectChar">
    <w:name w:val="Comment Subject Char"/>
    <w:basedOn w:val="CommentTextChar"/>
    <w:link w:val="CommentSubject"/>
    <w:uiPriority w:val="99"/>
    <w:semiHidden/>
    <w:rsid w:val="003E7A03"/>
    <w:rPr>
      <w:rFonts w:ascii="Segoe UI" w:eastAsiaTheme="minorHAnsi" w:hAnsi="Segoe UI" w:cs="Times New Roman"/>
      <w:b/>
      <w:bCs/>
      <w:sz w:val="20"/>
      <w:szCs w:val="20"/>
    </w:rPr>
  </w:style>
  <w:style w:type="table" w:styleId="TableGrid">
    <w:name w:val="Table Grid"/>
    <w:basedOn w:val="TableNormal"/>
    <w:uiPriority w:val="59"/>
    <w:rsid w:val="003E7A03"/>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A03"/>
    <w:pPr>
      <w:tabs>
        <w:tab w:val="center" w:pos="4513"/>
        <w:tab w:val="right" w:pos="9026"/>
      </w:tabs>
      <w:spacing w:after="0"/>
    </w:pPr>
  </w:style>
  <w:style w:type="character" w:customStyle="1" w:styleId="HeaderChar">
    <w:name w:val="Header Char"/>
    <w:basedOn w:val="DefaultParagraphFont"/>
    <w:link w:val="Header"/>
    <w:uiPriority w:val="99"/>
    <w:rsid w:val="003E7A03"/>
    <w:rPr>
      <w:rFonts w:ascii="Segoe UI" w:eastAsiaTheme="minorHAnsi" w:hAnsi="Segoe UI" w:cs="Times New Roman"/>
      <w:sz w:val="22"/>
      <w:szCs w:val="20"/>
    </w:rPr>
  </w:style>
  <w:style w:type="paragraph" w:styleId="Footer">
    <w:name w:val="footer"/>
    <w:basedOn w:val="Normal"/>
    <w:link w:val="FooterChar"/>
    <w:uiPriority w:val="99"/>
    <w:unhideWhenUsed/>
    <w:rsid w:val="003E7A03"/>
    <w:pPr>
      <w:tabs>
        <w:tab w:val="center" w:pos="4513"/>
        <w:tab w:val="right" w:pos="9026"/>
      </w:tabs>
      <w:spacing w:after="0"/>
    </w:pPr>
  </w:style>
  <w:style w:type="character" w:customStyle="1" w:styleId="FooterChar">
    <w:name w:val="Footer Char"/>
    <w:basedOn w:val="DefaultParagraphFont"/>
    <w:link w:val="Footer"/>
    <w:uiPriority w:val="99"/>
    <w:rsid w:val="003E7A03"/>
    <w:rPr>
      <w:rFonts w:ascii="Segoe UI" w:eastAsiaTheme="minorHAnsi" w:hAnsi="Segoe UI" w:cs="Times New Roman"/>
      <w:sz w:val="22"/>
      <w:szCs w:val="20"/>
    </w:rPr>
  </w:style>
  <w:style w:type="paragraph" w:customStyle="1" w:styleId="Default">
    <w:name w:val="Default"/>
    <w:rsid w:val="00CB762F"/>
    <w:pPr>
      <w:autoSpaceDE w:val="0"/>
      <w:autoSpaceDN w:val="0"/>
      <w:adjustRightInd w:val="0"/>
    </w:pPr>
    <w:rPr>
      <w:rFonts w:ascii="Arial" w:eastAsiaTheme="minorHAnsi" w:hAnsi="Arial" w:cs="Arial"/>
      <w:color w:val="000000"/>
      <w:lang w:val="en-GB"/>
    </w:rPr>
  </w:style>
  <w:style w:type="character" w:customStyle="1" w:styleId="Heading4Char">
    <w:name w:val="Heading 4 Char"/>
    <w:basedOn w:val="DefaultParagraphFont"/>
    <w:link w:val="Heading4"/>
    <w:uiPriority w:val="9"/>
    <w:rsid w:val="007E2B5A"/>
    <w:rPr>
      <w:rFonts w:asciiTheme="majorHAnsi" w:eastAsiaTheme="majorEastAsia" w:hAnsiTheme="majorHAnsi" w:cstheme="majorBidi"/>
      <w:b/>
      <w:bCs/>
      <w:i/>
      <w:iCs/>
      <w:sz w:val="22"/>
    </w:rPr>
  </w:style>
  <w:style w:type="table" w:styleId="LightShading-Accent1">
    <w:name w:val="Light Shading Accent 1"/>
    <w:basedOn w:val="TableNormal"/>
    <w:uiPriority w:val="60"/>
    <w:rsid w:val="003E7A03"/>
    <w:rPr>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220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aption">
    <w:name w:val="caption"/>
    <w:basedOn w:val="Normal"/>
    <w:next w:val="Normal"/>
    <w:uiPriority w:val="35"/>
    <w:qFormat/>
    <w:rsid w:val="003E7A03"/>
    <w:pPr>
      <w:spacing w:after="360"/>
    </w:pPr>
    <w:rPr>
      <w:i/>
      <w:iCs/>
      <w:color w:val="1F497D" w:themeColor="text2"/>
      <w:sz w:val="20"/>
      <w:szCs w:val="18"/>
    </w:rPr>
  </w:style>
  <w:style w:type="table" w:styleId="LightList">
    <w:name w:val="Light List"/>
    <w:basedOn w:val="TableNormal"/>
    <w:uiPriority w:val="61"/>
    <w:rsid w:val="002926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age">
    <w:name w:val="Image"/>
    <w:basedOn w:val="Normal"/>
    <w:qFormat/>
    <w:rsid w:val="003E7A03"/>
    <w:pPr>
      <w:keepNext/>
    </w:pPr>
    <w:rPr>
      <w:noProof/>
      <w:lang w:eastAsia="en-AU"/>
    </w:rPr>
  </w:style>
  <w:style w:type="paragraph" w:customStyle="1" w:styleId="NormalFirstPara">
    <w:name w:val="NormalFirstPara"/>
    <w:basedOn w:val="Normal"/>
    <w:rsid w:val="003E7A03"/>
    <w:rPr>
      <w:color w:val="244061" w:themeColor="accent1" w:themeShade="80"/>
      <w:sz w:val="24"/>
    </w:rPr>
  </w:style>
  <w:style w:type="paragraph" w:customStyle="1" w:styleId="NormalBeforeBullet">
    <w:name w:val="NormalBeforeBullet"/>
    <w:basedOn w:val="Normal"/>
    <w:qFormat/>
    <w:rsid w:val="003E7A03"/>
  </w:style>
  <w:style w:type="paragraph" w:customStyle="1" w:styleId="Bullet">
    <w:name w:val="Bullet"/>
    <w:basedOn w:val="Normal"/>
    <w:qFormat/>
    <w:rsid w:val="00CA5372"/>
    <w:pPr>
      <w:numPr>
        <w:numId w:val="4"/>
      </w:numPr>
      <w:spacing w:after="60"/>
      <w:ind w:left="357" w:hanging="357"/>
    </w:pPr>
  </w:style>
  <w:style w:type="paragraph" w:customStyle="1" w:styleId="LetterList">
    <w:name w:val="LetterList"/>
    <w:basedOn w:val="Normal"/>
    <w:qFormat/>
    <w:rsid w:val="003E7A03"/>
    <w:pPr>
      <w:numPr>
        <w:numId w:val="5"/>
      </w:numPr>
    </w:pPr>
  </w:style>
  <w:style w:type="paragraph" w:customStyle="1" w:styleId="NumberList">
    <w:name w:val="NumberList"/>
    <w:basedOn w:val="Normal"/>
    <w:qFormat/>
    <w:rsid w:val="003E7A03"/>
    <w:pPr>
      <w:numPr>
        <w:numId w:val="6"/>
      </w:numPr>
    </w:pPr>
  </w:style>
  <w:style w:type="character" w:customStyle="1" w:styleId="FootnoteReference0">
    <w:name w:val="FootnoteReference"/>
    <w:basedOn w:val="DefaultParagraphFont"/>
    <w:uiPriority w:val="1"/>
    <w:qFormat/>
    <w:rsid w:val="003E7A03"/>
    <w:rPr>
      <w:strike w:val="0"/>
      <w:dstrike w:val="0"/>
      <w:vertAlign w:val="superscript"/>
    </w:rPr>
  </w:style>
  <w:style w:type="paragraph" w:customStyle="1" w:styleId="DecimalAligned">
    <w:name w:val="Decimal Aligned"/>
    <w:basedOn w:val="Normal"/>
    <w:uiPriority w:val="40"/>
    <w:qFormat/>
    <w:rsid w:val="003E7A03"/>
    <w:pPr>
      <w:tabs>
        <w:tab w:val="decimal" w:pos="360"/>
      </w:tabs>
      <w:spacing w:after="200" w:line="276" w:lineRule="auto"/>
    </w:pPr>
    <w:rPr>
      <w:rFonts w:asciiTheme="minorHAnsi" w:eastAsiaTheme="minorEastAsia" w:hAnsiTheme="minorHAnsi"/>
      <w:szCs w:val="22"/>
      <w:lang w:val="en-US"/>
    </w:rPr>
  </w:style>
  <w:style w:type="character" w:styleId="SubtleEmphasis">
    <w:name w:val="Subtle Emphasis"/>
    <w:basedOn w:val="DefaultParagraphFont"/>
    <w:uiPriority w:val="19"/>
    <w:qFormat/>
    <w:rsid w:val="003E7A03"/>
    <w:rPr>
      <w:i/>
      <w:iCs/>
    </w:rPr>
  </w:style>
  <w:style w:type="paragraph" w:customStyle="1" w:styleId="Dash">
    <w:name w:val="Dash"/>
    <w:basedOn w:val="Bullet"/>
    <w:qFormat/>
    <w:rsid w:val="003E7A03"/>
    <w:pPr>
      <w:numPr>
        <w:numId w:val="7"/>
      </w:numPr>
      <w:ind w:left="714" w:hanging="357"/>
    </w:pPr>
  </w:style>
  <w:style w:type="paragraph" w:customStyle="1" w:styleId="DashBeforeBullet">
    <w:name w:val="DashBeforeBullet"/>
    <w:basedOn w:val="Dash"/>
    <w:qFormat/>
    <w:rsid w:val="003E7A03"/>
  </w:style>
  <w:style w:type="paragraph" w:customStyle="1" w:styleId="DashLast">
    <w:name w:val="DashLast"/>
    <w:basedOn w:val="Dash"/>
    <w:qFormat/>
    <w:rsid w:val="003E7A03"/>
  </w:style>
  <w:style w:type="paragraph" w:customStyle="1" w:styleId="TableName">
    <w:name w:val="TableName"/>
    <w:basedOn w:val="Heading3"/>
    <w:qFormat/>
    <w:rsid w:val="003E7A03"/>
    <w:pPr>
      <w:tabs>
        <w:tab w:val="clear" w:pos="1077"/>
        <w:tab w:val="left" w:pos="1418"/>
      </w:tabs>
      <w:spacing w:before="0"/>
      <w:ind w:left="1418" w:hanging="1418"/>
    </w:pPr>
    <w:rPr>
      <w:sz w:val="22"/>
    </w:rPr>
  </w:style>
  <w:style w:type="table" w:styleId="MediumList2-Accent1">
    <w:name w:val="Medium List 2 Accent 1"/>
    <w:basedOn w:val="TableNormal"/>
    <w:uiPriority w:val="66"/>
    <w:rsid w:val="003E7A03"/>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ing">
    <w:name w:val="TableHeading"/>
    <w:basedOn w:val="Normal"/>
    <w:qFormat/>
    <w:rsid w:val="003E7A03"/>
    <w:rPr>
      <w:rFonts w:ascii="HelveticaNeueLT Std Lt Cn" w:eastAsiaTheme="minorEastAsia" w:hAnsi="HelveticaNeueLT Std Lt Cn" w:cstheme="minorBidi"/>
      <w:b/>
      <w:color w:val="F2F2F2" w:themeColor="background1" w:themeShade="F2"/>
      <w:szCs w:val="22"/>
      <w:lang w:val="en-US"/>
    </w:rPr>
  </w:style>
  <w:style w:type="paragraph" w:customStyle="1" w:styleId="TableText">
    <w:name w:val="TableText"/>
    <w:basedOn w:val="Normal"/>
    <w:qFormat/>
    <w:rsid w:val="003E7A03"/>
    <w:rPr>
      <w:rFonts w:ascii="HelveticaNeueLT Std Lt Cn" w:eastAsiaTheme="minorEastAsia" w:hAnsi="HelveticaNeueLT Std Lt Cn" w:cstheme="minorBidi"/>
      <w:color w:val="000000" w:themeColor="text1"/>
      <w:sz w:val="20"/>
      <w:szCs w:val="22"/>
      <w:lang w:val="en-US"/>
    </w:rPr>
  </w:style>
  <w:style w:type="paragraph" w:customStyle="1" w:styleId="TableBullet">
    <w:name w:val="TableBullet"/>
    <w:basedOn w:val="TableText"/>
    <w:qFormat/>
    <w:rsid w:val="003E7A03"/>
    <w:pPr>
      <w:numPr>
        <w:numId w:val="8"/>
      </w:numPr>
      <w:spacing w:after="60"/>
      <w:ind w:left="357" w:hanging="357"/>
    </w:pPr>
    <w:rPr>
      <w:color w:val="auto"/>
    </w:rPr>
  </w:style>
  <w:style w:type="paragraph" w:customStyle="1" w:styleId="TableSubHead">
    <w:name w:val="TableSubHead"/>
    <w:basedOn w:val="TableText"/>
    <w:qFormat/>
    <w:rsid w:val="003E7A03"/>
    <w:rPr>
      <w:b/>
      <w:i/>
      <w:color w:val="244061" w:themeColor="accent1" w:themeShade="80"/>
    </w:rPr>
  </w:style>
  <w:style w:type="paragraph" w:customStyle="1" w:styleId="FigureNameSpace">
    <w:name w:val="FigureName+Space"/>
    <w:basedOn w:val="TableName"/>
    <w:qFormat/>
    <w:rsid w:val="003E7A03"/>
    <w:pPr>
      <w:spacing w:after="360"/>
    </w:pPr>
    <w:rPr>
      <w:noProof/>
      <w:lang w:eastAsia="en-AU"/>
    </w:rPr>
  </w:style>
  <w:style w:type="paragraph" w:styleId="NoSpacing">
    <w:name w:val="No Spacing"/>
    <w:link w:val="NoSpacingChar"/>
    <w:uiPriority w:val="1"/>
    <w:qFormat/>
    <w:rsid w:val="003E7A03"/>
    <w:rPr>
      <w:sz w:val="22"/>
      <w:szCs w:val="22"/>
      <w:lang w:val="en-US"/>
    </w:rPr>
  </w:style>
  <w:style w:type="character" w:customStyle="1" w:styleId="NoSpacingChar">
    <w:name w:val="No Spacing Char"/>
    <w:basedOn w:val="DefaultParagraphFont"/>
    <w:link w:val="NoSpacing"/>
    <w:uiPriority w:val="1"/>
    <w:rsid w:val="003E7A03"/>
    <w:rPr>
      <w:sz w:val="22"/>
      <w:szCs w:val="22"/>
      <w:lang w:val="en-US"/>
    </w:rPr>
  </w:style>
  <w:style w:type="paragraph" w:customStyle="1" w:styleId="ImprintText">
    <w:name w:val="ImprintText"/>
    <w:basedOn w:val="Normal"/>
    <w:qFormat/>
    <w:rsid w:val="003E7A03"/>
    <w:rPr>
      <w:sz w:val="18"/>
    </w:rPr>
  </w:style>
  <w:style w:type="character" w:styleId="Emphasis">
    <w:name w:val="Emphasis"/>
    <w:basedOn w:val="DefaultParagraphFont"/>
    <w:uiPriority w:val="20"/>
    <w:qFormat/>
    <w:rsid w:val="003E7A03"/>
    <w:rPr>
      <w:i/>
      <w:iCs/>
    </w:rPr>
  </w:style>
  <w:style w:type="paragraph" w:customStyle="1" w:styleId="Heading3a">
    <w:name w:val="Heading 3a"/>
    <w:basedOn w:val="Heading3"/>
    <w:next w:val="Normal"/>
    <w:rsid w:val="003E7A03"/>
    <w:pPr>
      <w:keepLines w:val="0"/>
      <w:tabs>
        <w:tab w:val="clear" w:pos="1077"/>
      </w:tabs>
      <w:spacing w:before="240"/>
      <w:outlineLvl w:val="9"/>
    </w:pPr>
    <w:rPr>
      <w:rFonts w:eastAsia="Times New Roman" w:cs="Arial"/>
      <w:bCs/>
      <w:color w:val="595959" w:themeColor="text1" w:themeTint="A6"/>
      <w:szCs w:val="26"/>
      <w:lang w:eastAsia="en-AU"/>
    </w:rPr>
  </w:style>
  <w:style w:type="paragraph" w:styleId="TOC1">
    <w:name w:val="toc 1"/>
    <w:basedOn w:val="Normal"/>
    <w:next w:val="Normal"/>
    <w:autoRedefine/>
    <w:uiPriority w:val="39"/>
    <w:rsid w:val="003E7A03"/>
    <w:pPr>
      <w:tabs>
        <w:tab w:val="left" w:pos="720"/>
        <w:tab w:val="right" w:leader="dot" w:pos="9016"/>
      </w:tabs>
      <w:spacing w:before="360" w:after="60"/>
      <w:ind w:left="1440" w:right="720" w:hanging="720"/>
    </w:pPr>
    <w:rPr>
      <w:rFonts w:eastAsia="Times New Roman"/>
      <w:b/>
      <w:bCs/>
      <w:noProof/>
      <w:color w:val="262626" w:themeColor="text1" w:themeTint="D9"/>
      <w:lang w:eastAsia="en-AU"/>
    </w:rPr>
  </w:style>
  <w:style w:type="paragraph" w:styleId="TOC2">
    <w:name w:val="toc 2"/>
    <w:basedOn w:val="Normal"/>
    <w:next w:val="Normal"/>
    <w:autoRedefine/>
    <w:uiPriority w:val="39"/>
    <w:rsid w:val="003E7A03"/>
    <w:pPr>
      <w:tabs>
        <w:tab w:val="left" w:pos="1440"/>
        <w:tab w:val="right" w:leader="dot" w:pos="9016"/>
      </w:tabs>
      <w:spacing w:before="120" w:after="60"/>
      <w:ind w:left="2160" w:right="720" w:hanging="720"/>
    </w:pPr>
    <w:rPr>
      <w:rFonts w:eastAsia="Times New Roman"/>
      <w:color w:val="262626" w:themeColor="text1" w:themeTint="D9"/>
      <w:lang w:eastAsia="en-AU"/>
    </w:rPr>
  </w:style>
  <w:style w:type="paragraph" w:styleId="TOC3">
    <w:name w:val="toc 3"/>
    <w:basedOn w:val="Normal"/>
    <w:next w:val="Normal"/>
    <w:autoRedefine/>
    <w:uiPriority w:val="39"/>
    <w:rsid w:val="003E7A03"/>
    <w:pPr>
      <w:tabs>
        <w:tab w:val="left" w:pos="2160"/>
        <w:tab w:val="right" w:leader="dot" w:pos="9016"/>
      </w:tabs>
      <w:spacing w:after="20"/>
      <w:ind w:left="2880" w:right="720" w:hanging="720"/>
    </w:pPr>
    <w:rPr>
      <w:rFonts w:eastAsia="Times New Roman"/>
      <w:color w:val="262626" w:themeColor="text1" w:themeTint="D9"/>
      <w:lang w:eastAsia="en-AU"/>
    </w:rPr>
  </w:style>
  <w:style w:type="paragraph" w:styleId="TableofFigures">
    <w:name w:val="table of figures"/>
    <w:basedOn w:val="Normal"/>
    <w:next w:val="Normal"/>
    <w:uiPriority w:val="99"/>
    <w:rsid w:val="003E7A03"/>
    <w:pPr>
      <w:tabs>
        <w:tab w:val="left" w:pos="1080"/>
        <w:tab w:val="right" w:leader="dot" w:pos="9000"/>
      </w:tabs>
      <w:ind w:left="1758" w:right="720" w:hanging="1038"/>
    </w:pPr>
    <w:rPr>
      <w:rFonts w:eastAsia="Times New Roman"/>
      <w:color w:val="000000"/>
      <w:lang w:eastAsia="en-AU"/>
    </w:rPr>
  </w:style>
  <w:style w:type="paragraph" w:customStyle="1" w:styleId="Heading2a">
    <w:name w:val="Heading 2a"/>
    <w:basedOn w:val="Heading2"/>
    <w:next w:val="Normal"/>
    <w:qFormat/>
    <w:rsid w:val="003E7A03"/>
  </w:style>
  <w:style w:type="paragraph" w:customStyle="1" w:styleId="TitleSub">
    <w:name w:val="TitleSub"/>
    <w:basedOn w:val="Normal"/>
    <w:qFormat/>
    <w:rsid w:val="003E7A03"/>
    <w:pPr>
      <w:jc w:val="right"/>
    </w:pPr>
    <w:rPr>
      <w:color w:val="404040" w:themeColor="text1" w:themeTint="BF"/>
      <w:sz w:val="40"/>
    </w:rPr>
  </w:style>
  <w:style w:type="paragraph" w:customStyle="1" w:styleId="TitleDate">
    <w:name w:val="TitleDate"/>
    <w:basedOn w:val="TitleSub"/>
    <w:qFormat/>
    <w:rsid w:val="003E7A03"/>
    <w:rPr>
      <w:color w:val="365F91" w:themeColor="accent1" w:themeShade="BF"/>
      <w:sz w:val="24"/>
      <w:szCs w:val="28"/>
    </w:rPr>
  </w:style>
  <w:style w:type="paragraph" w:styleId="Quote">
    <w:name w:val="Quote"/>
    <w:basedOn w:val="Normal"/>
    <w:next w:val="Normal"/>
    <w:link w:val="QuoteChar"/>
    <w:uiPriority w:val="29"/>
    <w:qFormat/>
    <w:rsid w:val="003E7A03"/>
    <w:pPr>
      <w:ind w:left="357" w:right="720"/>
    </w:pPr>
    <w:rPr>
      <w:rFonts w:eastAsiaTheme="minorEastAsia" w:cstheme="minorBidi"/>
      <w:i/>
      <w:iCs/>
      <w:color w:val="000000" w:themeColor="text1"/>
      <w:szCs w:val="22"/>
      <w:lang w:val="en-US" w:eastAsia="ja-JP"/>
    </w:rPr>
  </w:style>
  <w:style w:type="character" w:customStyle="1" w:styleId="QuoteChar">
    <w:name w:val="Quote Char"/>
    <w:basedOn w:val="DefaultParagraphFont"/>
    <w:link w:val="Quote"/>
    <w:uiPriority w:val="29"/>
    <w:rsid w:val="003E7A03"/>
    <w:rPr>
      <w:rFonts w:ascii="Segoe UI" w:hAnsi="Segoe UI"/>
      <w:i/>
      <w:iCs/>
      <w:color w:val="000000" w:themeColor="text1"/>
      <w:sz w:val="22"/>
      <w:szCs w:val="22"/>
      <w:lang w:val="en-US" w:eastAsia="ja-JP"/>
    </w:rPr>
  </w:style>
  <w:style w:type="paragraph" w:customStyle="1" w:styleId="PullQuote">
    <w:name w:val="PullQuote"/>
    <w:basedOn w:val="Normal"/>
    <w:qFormat/>
    <w:rsid w:val="003E7A03"/>
    <w:pPr>
      <w:ind w:left="1985"/>
      <w:jc w:val="right"/>
    </w:pPr>
    <w:rPr>
      <w:i/>
      <w:color w:val="244061" w:themeColor="accent1" w:themeShade="80"/>
    </w:rPr>
  </w:style>
  <w:style w:type="table" w:customStyle="1" w:styleId="GridTable5Dark1">
    <w:name w:val="Grid Table 5 Dark1"/>
    <w:basedOn w:val="TableNormal"/>
    <w:uiPriority w:val="50"/>
    <w:rsid w:val="003E7A03"/>
    <w:rPr>
      <w:rFonts w:ascii="Times New Roman" w:eastAsiaTheme="minorHAnsi"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3E7A03"/>
    <w:rPr>
      <w:rFonts w:ascii="Times New Roman" w:eastAsiaTheme="minorHAnsi"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Notes">
    <w:name w:val="TableNotes"/>
    <w:basedOn w:val="TableText"/>
    <w:qFormat/>
    <w:rsid w:val="003E7A03"/>
    <w:pPr>
      <w:spacing w:after="60"/>
      <w:ind w:left="720" w:hanging="720"/>
    </w:pPr>
    <w:rPr>
      <w:noProof/>
      <w:color w:val="404040" w:themeColor="text1" w:themeTint="BF"/>
      <w:sz w:val="18"/>
    </w:rPr>
  </w:style>
  <w:style w:type="paragraph" w:customStyle="1" w:styleId="TableNotesLast">
    <w:name w:val="TableNotesLast"/>
    <w:basedOn w:val="TableNotes"/>
    <w:qFormat/>
    <w:rsid w:val="003E7A03"/>
    <w:pPr>
      <w:spacing w:after="360"/>
    </w:pPr>
  </w:style>
  <w:style w:type="paragraph" w:customStyle="1" w:styleId="FigureNotes">
    <w:name w:val="FigureNotes"/>
    <w:basedOn w:val="TableNotes"/>
    <w:qFormat/>
    <w:rsid w:val="003E7A03"/>
    <w:pPr>
      <w:keepNext/>
    </w:pPr>
  </w:style>
  <w:style w:type="paragraph" w:customStyle="1" w:styleId="FigureNotesLast">
    <w:name w:val="FigureNotesLast"/>
    <w:basedOn w:val="FigureNotes"/>
    <w:qFormat/>
    <w:rsid w:val="003E7A03"/>
    <w:pPr>
      <w:spacing w:after="240"/>
    </w:pPr>
  </w:style>
  <w:style w:type="paragraph" w:customStyle="1" w:styleId="TableTextDA">
    <w:name w:val="TableTextDA"/>
    <w:basedOn w:val="TableText"/>
    <w:qFormat/>
    <w:rsid w:val="003E7A03"/>
    <w:pPr>
      <w:jc w:val="right"/>
    </w:pPr>
  </w:style>
  <w:style w:type="paragraph" w:customStyle="1" w:styleId="TableHeadingCA">
    <w:name w:val="TableHeadingCA"/>
    <w:basedOn w:val="TableHeading"/>
    <w:qFormat/>
    <w:rsid w:val="003E7A03"/>
    <w:pPr>
      <w:jc w:val="center"/>
    </w:pPr>
    <w:rPr>
      <w:b w:val="0"/>
      <w:bCs/>
      <w:noProof/>
      <w:sz w:val="20"/>
    </w:rPr>
  </w:style>
  <w:style w:type="paragraph" w:customStyle="1" w:styleId="TOC1APP">
    <w:name w:val="TOC1 APP"/>
    <w:basedOn w:val="TOC1"/>
    <w:qFormat/>
    <w:rsid w:val="003E7A03"/>
    <w:pPr>
      <w:tabs>
        <w:tab w:val="left" w:pos="2160"/>
      </w:tabs>
      <w:ind w:left="2138" w:hanging="1418"/>
    </w:pPr>
  </w:style>
  <w:style w:type="character" w:styleId="Strong">
    <w:name w:val="Strong"/>
    <w:basedOn w:val="DefaultParagraphFont"/>
    <w:uiPriority w:val="22"/>
    <w:qFormat/>
    <w:rsid w:val="00CA5372"/>
    <w:rPr>
      <w:b/>
      <w:bCs/>
    </w:rPr>
  </w:style>
  <w:style w:type="paragraph" w:styleId="Revision">
    <w:name w:val="Revision"/>
    <w:hidden/>
    <w:uiPriority w:val="99"/>
    <w:semiHidden/>
    <w:rsid w:val="005C2FC7"/>
    <w:rPr>
      <w:rFonts w:ascii="Calibri" w:eastAsiaTheme="minorHAnsi" w:hAnsi="Calibri" w:cs="Times New Roman"/>
      <w:sz w:val="22"/>
      <w:szCs w:val="20"/>
    </w:rPr>
  </w:style>
  <w:style w:type="paragraph" w:styleId="NormalWeb">
    <w:name w:val="Normal (Web)"/>
    <w:basedOn w:val="Normal"/>
    <w:uiPriority w:val="99"/>
    <w:semiHidden/>
    <w:unhideWhenUsed/>
    <w:rsid w:val="008C6FF7"/>
    <w:pPr>
      <w:spacing w:before="100" w:beforeAutospacing="1" w:after="100" w:afterAutospacing="1"/>
    </w:pPr>
    <w:rPr>
      <w:rFonts w:ascii="Times New Roman" w:eastAsiaTheme="minorEastAsia" w:hAnsi="Times New Roman"/>
      <w:sz w:val="24"/>
      <w:szCs w:val="24"/>
      <w:lang w:eastAsia="en-AU"/>
    </w:rPr>
  </w:style>
  <w:style w:type="character" w:customStyle="1" w:styleId="UnresolvedMention1">
    <w:name w:val="Unresolved Mention1"/>
    <w:basedOn w:val="DefaultParagraphFont"/>
    <w:uiPriority w:val="99"/>
    <w:semiHidden/>
    <w:unhideWhenUsed/>
    <w:rsid w:val="003D1C54"/>
    <w:rPr>
      <w:color w:val="808080"/>
      <w:shd w:val="clear" w:color="auto" w:fill="E6E6E6"/>
    </w:rPr>
  </w:style>
  <w:style w:type="table" w:customStyle="1" w:styleId="GridTable5Dark-Accent11">
    <w:name w:val="Grid Table 5 Dark - Accent 11"/>
    <w:basedOn w:val="TableNormal"/>
    <w:uiPriority w:val="50"/>
    <w:rsid w:val="00F207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8459F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RoleChar">
    <w:name w:val="Role Char"/>
    <w:basedOn w:val="DefaultParagraphFont"/>
    <w:link w:val="Role"/>
    <w:locked/>
    <w:rsid w:val="00653CFE"/>
    <w:rPr>
      <w:rFonts w:ascii="Arial" w:eastAsia="Times New Roman" w:hAnsi="Arial" w:cs="Arial"/>
      <w:b/>
      <w:bCs/>
      <w:color w:val="4F81BD" w:themeColor="accent1"/>
      <w:lang w:eastAsia="en-GB"/>
    </w:rPr>
  </w:style>
  <w:style w:type="paragraph" w:customStyle="1" w:styleId="Role">
    <w:name w:val="Role"/>
    <w:basedOn w:val="Signature"/>
    <w:link w:val="RoleChar"/>
    <w:qFormat/>
    <w:rsid w:val="00653CFE"/>
    <w:pPr>
      <w:keepNext/>
      <w:keepLines/>
      <w:snapToGrid w:val="0"/>
      <w:spacing w:before="360"/>
      <w:ind w:left="0"/>
      <w:contextualSpacing/>
    </w:pPr>
    <w:rPr>
      <w:rFonts w:ascii="Arial" w:eastAsia="Times New Roman" w:hAnsi="Arial" w:cs="Arial"/>
      <w:b/>
      <w:bCs/>
      <w:color w:val="4F81BD" w:themeColor="accent1"/>
      <w:sz w:val="24"/>
      <w:szCs w:val="24"/>
      <w:lang w:eastAsia="en-GB"/>
    </w:rPr>
  </w:style>
  <w:style w:type="paragraph" w:styleId="Signature">
    <w:name w:val="Signature"/>
    <w:basedOn w:val="Normal"/>
    <w:link w:val="SignatureChar"/>
    <w:uiPriority w:val="99"/>
    <w:semiHidden/>
    <w:unhideWhenUsed/>
    <w:rsid w:val="00653CFE"/>
    <w:pPr>
      <w:spacing w:after="0"/>
      <w:ind w:left="4252"/>
    </w:pPr>
  </w:style>
  <w:style w:type="character" w:customStyle="1" w:styleId="SignatureChar">
    <w:name w:val="Signature Char"/>
    <w:basedOn w:val="DefaultParagraphFont"/>
    <w:link w:val="Signature"/>
    <w:uiPriority w:val="99"/>
    <w:semiHidden/>
    <w:rsid w:val="00653CFE"/>
    <w:rPr>
      <w:rFonts w:ascii="Calibri" w:eastAsiaTheme="minorHAnsi" w:hAnsi="Calibri" w:cs="Times New Roman"/>
      <w:sz w:val="22"/>
      <w:szCs w:val="20"/>
    </w:rPr>
  </w:style>
  <w:style w:type="table" w:customStyle="1" w:styleId="GridTable4-Accent110">
    <w:name w:val="Grid Table 4 - Accent 110"/>
    <w:basedOn w:val="TableNormal"/>
    <w:uiPriority w:val="49"/>
    <w:rsid w:val="00DE6EC3"/>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F56321"/>
    <w:rPr>
      <w:color w:val="605E5C"/>
      <w:shd w:val="clear" w:color="auto" w:fill="E1DFDD"/>
    </w:rPr>
  </w:style>
  <w:style w:type="paragraph" w:customStyle="1" w:styleId="Body">
    <w:name w:val="Body"/>
    <w:qFormat/>
    <w:rsid w:val="00F73345"/>
    <w:pPr>
      <w:spacing w:before="120" w:after="200" w:line="300" w:lineRule="auto"/>
    </w:pPr>
    <w:rPr>
      <w:rFonts w:ascii="Arial" w:eastAsia="MS Mincho" w:hAnsi="Arial" w:cs="Times New Roman"/>
      <w:color w:val="000000"/>
      <w:lang w:val="en-US"/>
    </w:rPr>
  </w:style>
  <w:style w:type="table" w:customStyle="1" w:styleId="ListTable3-Accent11">
    <w:name w:val="List Table 3 - Accent 11"/>
    <w:basedOn w:val="TableNormal"/>
    <w:uiPriority w:val="48"/>
    <w:rsid w:val="00F73345"/>
    <w:rPr>
      <w:rFonts w:asciiTheme="majorHAnsi" w:eastAsiaTheme="minorHAnsi" w:hAnsiTheme="majorHAnsi" w:cstheme="maj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80709">
      <w:bodyDiv w:val="1"/>
      <w:marLeft w:val="0"/>
      <w:marRight w:val="0"/>
      <w:marTop w:val="0"/>
      <w:marBottom w:val="0"/>
      <w:divBdr>
        <w:top w:val="none" w:sz="0" w:space="0" w:color="auto"/>
        <w:left w:val="none" w:sz="0" w:space="0" w:color="auto"/>
        <w:bottom w:val="none" w:sz="0" w:space="0" w:color="auto"/>
        <w:right w:val="none" w:sz="0" w:space="0" w:color="auto"/>
      </w:divBdr>
      <w:divsChild>
        <w:div w:id="1106929345">
          <w:marLeft w:val="806"/>
          <w:marRight w:val="0"/>
          <w:marTop w:val="120"/>
          <w:marBottom w:val="120"/>
          <w:divBdr>
            <w:top w:val="none" w:sz="0" w:space="0" w:color="auto"/>
            <w:left w:val="none" w:sz="0" w:space="0" w:color="auto"/>
            <w:bottom w:val="none" w:sz="0" w:space="0" w:color="auto"/>
            <w:right w:val="none" w:sz="0" w:space="0" w:color="auto"/>
          </w:divBdr>
        </w:div>
      </w:divsChild>
    </w:div>
    <w:div w:id="456532528">
      <w:bodyDiv w:val="1"/>
      <w:marLeft w:val="0"/>
      <w:marRight w:val="0"/>
      <w:marTop w:val="0"/>
      <w:marBottom w:val="0"/>
      <w:divBdr>
        <w:top w:val="none" w:sz="0" w:space="0" w:color="auto"/>
        <w:left w:val="none" w:sz="0" w:space="0" w:color="auto"/>
        <w:bottom w:val="none" w:sz="0" w:space="0" w:color="auto"/>
        <w:right w:val="none" w:sz="0" w:space="0" w:color="auto"/>
      </w:divBdr>
    </w:div>
    <w:div w:id="590433321">
      <w:bodyDiv w:val="1"/>
      <w:marLeft w:val="0"/>
      <w:marRight w:val="0"/>
      <w:marTop w:val="0"/>
      <w:marBottom w:val="0"/>
      <w:divBdr>
        <w:top w:val="none" w:sz="0" w:space="0" w:color="auto"/>
        <w:left w:val="none" w:sz="0" w:space="0" w:color="auto"/>
        <w:bottom w:val="none" w:sz="0" w:space="0" w:color="auto"/>
        <w:right w:val="none" w:sz="0" w:space="0" w:color="auto"/>
      </w:divBdr>
    </w:div>
    <w:div w:id="615478328">
      <w:bodyDiv w:val="1"/>
      <w:marLeft w:val="0"/>
      <w:marRight w:val="0"/>
      <w:marTop w:val="0"/>
      <w:marBottom w:val="0"/>
      <w:divBdr>
        <w:top w:val="none" w:sz="0" w:space="0" w:color="auto"/>
        <w:left w:val="none" w:sz="0" w:space="0" w:color="auto"/>
        <w:bottom w:val="none" w:sz="0" w:space="0" w:color="auto"/>
        <w:right w:val="none" w:sz="0" w:space="0" w:color="auto"/>
      </w:divBdr>
    </w:div>
    <w:div w:id="651327100">
      <w:bodyDiv w:val="1"/>
      <w:marLeft w:val="0"/>
      <w:marRight w:val="0"/>
      <w:marTop w:val="0"/>
      <w:marBottom w:val="0"/>
      <w:divBdr>
        <w:top w:val="none" w:sz="0" w:space="0" w:color="auto"/>
        <w:left w:val="none" w:sz="0" w:space="0" w:color="auto"/>
        <w:bottom w:val="none" w:sz="0" w:space="0" w:color="auto"/>
        <w:right w:val="none" w:sz="0" w:space="0" w:color="auto"/>
      </w:divBdr>
    </w:div>
    <w:div w:id="981927459">
      <w:bodyDiv w:val="1"/>
      <w:marLeft w:val="0"/>
      <w:marRight w:val="0"/>
      <w:marTop w:val="0"/>
      <w:marBottom w:val="0"/>
      <w:divBdr>
        <w:top w:val="none" w:sz="0" w:space="0" w:color="auto"/>
        <w:left w:val="none" w:sz="0" w:space="0" w:color="auto"/>
        <w:bottom w:val="none" w:sz="0" w:space="0" w:color="auto"/>
        <w:right w:val="none" w:sz="0" w:space="0" w:color="auto"/>
      </w:divBdr>
    </w:div>
    <w:div w:id="1068380101">
      <w:bodyDiv w:val="1"/>
      <w:marLeft w:val="0"/>
      <w:marRight w:val="0"/>
      <w:marTop w:val="0"/>
      <w:marBottom w:val="0"/>
      <w:divBdr>
        <w:top w:val="none" w:sz="0" w:space="0" w:color="auto"/>
        <w:left w:val="none" w:sz="0" w:space="0" w:color="auto"/>
        <w:bottom w:val="none" w:sz="0" w:space="0" w:color="auto"/>
        <w:right w:val="none" w:sz="0" w:space="0" w:color="auto"/>
      </w:divBdr>
    </w:div>
    <w:div w:id="1273325024">
      <w:bodyDiv w:val="1"/>
      <w:marLeft w:val="0"/>
      <w:marRight w:val="0"/>
      <w:marTop w:val="0"/>
      <w:marBottom w:val="0"/>
      <w:divBdr>
        <w:top w:val="none" w:sz="0" w:space="0" w:color="auto"/>
        <w:left w:val="none" w:sz="0" w:space="0" w:color="auto"/>
        <w:bottom w:val="none" w:sz="0" w:space="0" w:color="auto"/>
        <w:right w:val="none" w:sz="0" w:space="0" w:color="auto"/>
      </w:divBdr>
    </w:div>
    <w:div w:id="1309633927">
      <w:bodyDiv w:val="1"/>
      <w:marLeft w:val="0"/>
      <w:marRight w:val="0"/>
      <w:marTop w:val="0"/>
      <w:marBottom w:val="0"/>
      <w:divBdr>
        <w:top w:val="none" w:sz="0" w:space="0" w:color="auto"/>
        <w:left w:val="none" w:sz="0" w:space="0" w:color="auto"/>
        <w:bottom w:val="none" w:sz="0" w:space="0" w:color="auto"/>
        <w:right w:val="none" w:sz="0" w:space="0" w:color="auto"/>
      </w:divBdr>
    </w:div>
    <w:div w:id="1404570102">
      <w:bodyDiv w:val="1"/>
      <w:marLeft w:val="0"/>
      <w:marRight w:val="0"/>
      <w:marTop w:val="0"/>
      <w:marBottom w:val="0"/>
      <w:divBdr>
        <w:top w:val="none" w:sz="0" w:space="0" w:color="auto"/>
        <w:left w:val="none" w:sz="0" w:space="0" w:color="auto"/>
        <w:bottom w:val="none" w:sz="0" w:space="0" w:color="auto"/>
        <w:right w:val="none" w:sz="0" w:space="0" w:color="auto"/>
      </w:divBdr>
    </w:div>
    <w:div w:id="1482425210">
      <w:bodyDiv w:val="1"/>
      <w:marLeft w:val="0"/>
      <w:marRight w:val="0"/>
      <w:marTop w:val="0"/>
      <w:marBottom w:val="0"/>
      <w:divBdr>
        <w:top w:val="none" w:sz="0" w:space="0" w:color="auto"/>
        <w:left w:val="none" w:sz="0" w:space="0" w:color="auto"/>
        <w:bottom w:val="none" w:sz="0" w:space="0" w:color="auto"/>
        <w:right w:val="none" w:sz="0" w:space="0" w:color="auto"/>
      </w:divBdr>
    </w:div>
    <w:div w:id="1683044886">
      <w:bodyDiv w:val="1"/>
      <w:marLeft w:val="0"/>
      <w:marRight w:val="0"/>
      <w:marTop w:val="0"/>
      <w:marBottom w:val="0"/>
      <w:divBdr>
        <w:top w:val="none" w:sz="0" w:space="0" w:color="auto"/>
        <w:left w:val="none" w:sz="0" w:space="0" w:color="auto"/>
        <w:bottom w:val="none" w:sz="0" w:space="0" w:color="auto"/>
        <w:right w:val="none" w:sz="0" w:space="0" w:color="auto"/>
      </w:divBdr>
    </w:div>
    <w:div w:id="1783380968">
      <w:bodyDiv w:val="1"/>
      <w:marLeft w:val="0"/>
      <w:marRight w:val="0"/>
      <w:marTop w:val="0"/>
      <w:marBottom w:val="0"/>
      <w:divBdr>
        <w:top w:val="none" w:sz="0" w:space="0" w:color="auto"/>
        <w:left w:val="none" w:sz="0" w:space="0" w:color="auto"/>
        <w:bottom w:val="none" w:sz="0" w:space="0" w:color="auto"/>
        <w:right w:val="none" w:sz="0" w:space="0" w:color="auto"/>
      </w:divBdr>
    </w:div>
    <w:div w:id="1791049040">
      <w:bodyDiv w:val="1"/>
      <w:marLeft w:val="0"/>
      <w:marRight w:val="0"/>
      <w:marTop w:val="0"/>
      <w:marBottom w:val="0"/>
      <w:divBdr>
        <w:top w:val="none" w:sz="0" w:space="0" w:color="auto"/>
        <w:left w:val="none" w:sz="0" w:space="0" w:color="auto"/>
        <w:bottom w:val="none" w:sz="0" w:space="0" w:color="auto"/>
        <w:right w:val="none" w:sz="0" w:space="0" w:color="auto"/>
      </w:divBdr>
      <w:divsChild>
        <w:div w:id="413404017">
          <w:marLeft w:val="720"/>
          <w:marRight w:val="0"/>
          <w:marTop w:val="0"/>
          <w:marBottom w:val="360"/>
          <w:divBdr>
            <w:top w:val="none" w:sz="0" w:space="0" w:color="auto"/>
            <w:left w:val="none" w:sz="0" w:space="0" w:color="auto"/>
            <w:bottom w:val="none" w:sz="0" w:space="0" w:color="auto"/>
            <w:right w:val="none" w:sz="0" w:space="0" w:color="auto"/>
          </w:divBdr>
        </w:div>
        <w:div w:id="797531473">
          <w:marLeft w:val="720"/>
          <w:marRight w:val="0"/>
          <w:marTop w:val="0"/>
          <w:marBottom w:val="360"/>
          <w:divBdr>
            <w:top w:val="none" w:sz="0" w:space="0" w:color="auto"/>
            <w:left w:val="none" w:sz="0" w:space="0" w:color="auto"/>
            <w:bottom w:val="none" w:sz="0" w:space="0" w:color="auto"/>
            <w:right w:val="none" w:sz="0" w:space="0" w:color="auto"/>
          </w:divBdr>
        </w:div>
        <w:div w:id="1194073907">
          <w:marLeft w:val="720"/>
          <w:marRight w:val="0"/>
          <w:marTop w:val="0"/>
          <w:marBottom w:val="360"/>
          <w:divBdr>
            <w:top w:val="none" w:sz="0" w:space="0" w:color="auto"/>
            <w:left w:val="none" w:sz="0" w:space="0" w:color="auto"/>
            <w:bottom w:val="none" w:sz="0" w:space="0" w:color="auto"/>
            <w:right w:val="none" w:sz="0" w:space="0" w:color="auto"/>
          </w:divBdr>
        </w:div>
        <w:div w:id="1287201726">
          <w:marLeft w:val="720"/>
          <w:marRight w:val="0"/>
          <w:marTop w:val="0"/>
          <w:marBottom w:val="360"/>
          <w:divBdr>
            <w:top w:val="none" w:sz="0" w:space="0" w:color="auto"/>
            <w:left w:val="none" w:sz="0" w:space="0" w:color="auto"/>
            <w:bottom w:val="none" w:sz="0" w:space="0" w:color="auto"/>
            <w:right w:val="none" w:sz="0" w:space="0" w:color="auto"/>
          </w:divBdr>
        </w:div>
        <w:div w:id="1765804138">
          <w:marLeft w:val="720"/>
          <w:marRight w:val="0"/>
          <w:marTop w:val="0"/>
          <w:marBottom w:val="360"/>
          <w:divBdr>
            <w:top w:val="none" w:sz="0" w:space="0" w:color="auto"/>
            <w:left w:val="none" w:sz="0" w:space="0" w:color="auto"/>
            <w:bottom w:val="none" w:sz="0" w:space="0" w:color="auto"/>
            <w:right w:val="none" w:sz="0" w:space="0" w:color="auto"/>
          </w:divBdr>
        </w:div>
      </w:divsChild>
    </w:div>
    <w:div w:id="1858735131">
      <w:bodyDiv w:val="1"/>
      <w:marLeft w:val="0"/>
      <w:marRight w:val="0"/>
      <w:marTop w:val="0"/>
      <w:marBottom w:val="0"/>
      <w:divBdr>
        <w:top w:val="none" w:sz="0" w:space="0" w:color="auto"/>
        <w:left w:val="none" w:sz="0" w:space="0" w:color="auto"/>
        <w:bottom w:val="none" w:sz="0" w:space="0" w:color="auto"/>
        <w:right w:val="none" w:sz="0" w:space="0" w:color="auto"/>
      </w:divBdr>
    </w:div>
    <w:div w:id="2080470330">
      <w:bodyDiv w:val="1"/>
      <w:marLeft w:val="0"/>
      <w:marRight w:val="0"/>
      <w:marTop w:val="0"/>
      <w:marBottom w:val="0"/>
      <w:divBdr>
        <w:top w:val="none" w:sz="0" w:space="0" w:color="auto"/>
        <w:left w:val="none" w:sz="0" w:space="0" w:color="auto"/>
        <w:bottom w:val="none" w:sz="0" w:space="0" w:color="auto"/>
        <w:right w:val="none" w:sz="0" w:space="0" w:color="auto"/>
      </w:divBdr>
    </w:div>
    <w:div w:id="2114471604">
      <w:bodyDiv w:val="1"/>
      <w:marLeft w:val="0"/>
      <w:marRight w:val="0"/>
      <w:marTop w:val="0"/>
      <w:marBottom w:val="0"/>
      <w:divBdr>
        <w:top w:val="none" w:sz="0" w:space="0" w:color="auto"/>
        <w:left w:val="none" w:sz="0" w:space="0" w:color="auto"/>
        <w:bottom w:val="none" w:sz="0" w:space="0" w:color="auto"/>
        <w:right w:val="none" w:sz="0" w:space="0" w:color="auto"/>
      </w:divBdr>
    </w:div>
    <w:div w:id="213424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munro@uq.edu.au" TargetMode="External"/><Relationship Id="rId18" Type="http://schemas.openxmlformats.org/officeDocument/2006/relationships/hyperlink" Target="http://uts.edu.au/bif" TargetMode="External"/><Relationship Id="rId26" Type="http://schemas.openxmlformats.org/officeDocument/2006/relationships/hyperlink" Target="mailto:margot.latham@health.nsw.gov.au" TargetMode="External"/><Relationship Id="rId39" Type="http://schemas.openxmlformats.org/officeDocument/2006/relationships/hyperlink" Target="mailto:maree.smith@uq.edu.au" TargetMode="External"/><Relationship Id="rId21" Type="http://schemas.openxmlformats.org/officeDocument/2006/relationships/hyperlink" Target="https://rph.health.wa.gov.au/Our-services/Cell-and-Tissue-Therapy" TargetMode="External"/><Relationship Id="rId34" Type="http://schemas.openxmlformats.org/officeDocument/2006/relationships/hyperlink" Target="mailto:leanne.hawkey@monash.edu" TargetMode="External"/><Relationship Id="rId42" Type="http://schemas.openxmlformats.org/officeDocument/2006/relationships/hyperlink" Target="mailto:m.simpson@griffith.edu.au" TargetMode="External"/><Relationship Id="rId47" Type="http://schemas.openxmlformats.org/officeDocument/2006/relationships/hyperlink" Target="https://www.therapeuticinovation.com.au/accelerator" TargetMode="External"/><Relationship Id="rId50" Type="http://schemas.openxmlformats.org/officeDocument/2006/relationships/hyperlink" Target="http://www.therapeuticinnovation.com.au/acknowledging-tia"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usie.Nilsson@csiro.au" TargetMode="External"/><Relationship Id="rId29" Type="http://schemas.openxmlformats.org/officeDocument/2006/relationships/hyperlink" Target="https://www.petermac.org/centreofexcellence" TargetMode="External"/><Relationship Id="rId11" Type="http://schemas.openxmlformats.org/officeDocument/2006/relationships/hyperlink" Target="https://www.business.gov.au/assistance/research-and-development-tax-incentive" TargetMode="External"/><Relationship Id="rId24" Type="http://schemas.openxmlformats.org/officeDocument/2006/relationships/hyperlink" Target="http://www.scgt.org.au/" TargetMode="External"/><Relationship Id="rId32" Type="http://schemas.openxmlformats.org/officeDocument/2006/relationships/hyperlink" Target="https://www.monash.edu/atmcf" TargetMode="External"/><Relationship Id="rId37" Type="http://schemas.openxmlformats.org/officeDocument/2006/relationships/hyperlink" Target="mailto:andrew.powell@monash.edu" TargetMode="External"/><Relationship Id="rId40" Type="http://schemas.openxmlformats.org/officeDocument/2006/relationships/hyperlink" Target="mailto:a.kuo1@uq.edu.au" TargetMode="External"/><Relationship Id="rId45" Type="http://schemas.openxmlformats.org/officeDocument/2006/relationships/hyperlink" Target="mailto:P.tapley@tetraq.com.au" TargetMode="External"/><Relationship Id="rId53"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hyperlink" Target="mailto:edwin.huang@uts.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a.jones@uq.edu.au" TargetMode="External"/><Relationship Id="rId22" Type="http://schemas.openxmlformats.org/officeDocument/2006/relationships/hyperlink" Target="mailto:marian.sturm@health.wa.gov.au" TargetMode="External"/><Relationship Id="rId27" Type="http://schemas.openxmlformats.org/officeDocument/2006/relationships/hyperlink" Target="https://www.slhd.nsw.gov.au/research/department_details.html?research=cmt" TargetMode="External"/><Relationship Id="rId30" Type="http://schemas.openxmlformats.org/officeDocument/2006/relationships/hyperlink" Target="mailto:nathansmith@celltherapies.com.au" TargetMode="External"/><Relationship Id="rId35" Type="http://schemas.openxmlformats.org/officeDocument/2006/relationships/hyperlink" Target="https://platforms.monash.edu/cdco" TargetMode="External"/><Relationship Id="rId43" Type="http://schemas.openxmlformats.org/officeDocument/2006/relationships/hyperlink" Target="mailto:wilma.james@griffith.edu.au" TargetMode="External"/><Relationship Id="rId48" Type="http://schemas.openxmlformats.org/officeDocument/2006/relationships/hyperlink" Target="https://www.therapeuticinovation.com.au/accelerator"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therapeuticinnovation.com.au/accelerator" TargetMode="External"/><Relationship Id="rId3" Type="http://schemas.openxmlformats.org/officeDocument/2006/relationships/customXml" Target="../customXml/item3.xml"/><Relationship Id="rId12" Type="http://schemas.openxmlformats.org/officeDocument/2006/relationships/hyperlink" Target="http://www.nationalbiologicsfacility.com/" TargetMode="External"/><Relationship Id="rId17" Type="http://schemas.openxmlformats.org/officeDocument/2006/relationships/hyperlink" Target="mailto:tim.adams@csiro.au" TargetMode="External"/><Relationship Id="rId25" Type="http://schemas.openxmlformats.org/officeDocument/2006/relationships/hyperlink" Target="mailto:mark.ornatowski@health.nsw.gov.au" TargetMode="External"/><Relationship Id="rId33" Type="http://schemas.openxmlformats.org/officeDocument/2006/relationships/hyperlink" Target="mailto:jonathan.baell@monash.edu" TargetMode="External"/><Relationship Id="rId38" Type="http://schemas.openxmlformats.org/officeDocument/2006/relationships/hyperlink" Target="https://biomedical-sciences.uq.edu.au/cipdd" TargetMode="External"/><Relationship Id="rId46" Type="http://schemas.openxmlformats.org/officeDocument/2006/relationships/hyperlink" Target="http://www.therapeuticinnovation.com.au/accelerator" TargetMode="External"/><Relationship Id="rId20" Type="http://schemas.openxmlformats.org/officeDocument/2006/relationships/hyperlink" Target="mailto:andrew.groth@uts.edu.au" TargetMode="External"/><Relationship Id="rId41" Type="http://schemas.openxmlformats.org/officeDocument/2006/relationships/hyperlink" Target="http://www.compoundsaustralia.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biologicsfacility.com/" TargetMode="External"/><Relationship Id="rId23" Type="http://schemas.openxmlformats.org/officeDocument/2006/relationships/hyperlink" Target="mailto:Leon.Scott@qimrberghofer.edu.au" TargetMode="External"/><Relationship Id="rId28" Type="http://schemas.openxmlformats.org/officeDocument/2006/relationships/hyperlink" Target="mailto:Zlatibor.Velickovic@health.nsw.gov.au" TargetMode="External"/><Relationship Id="rId36" Type="http://schemas.openxmlformats.org/officeDocument/2006/relationships/hyperlink" Target="mailto:susan.charman@monash.edu" TargetMode="External"/><Relationship Id="rId49" Type="http://schemas.openxmlformats.org/officeDocument/2006/relationships/hyperlink" Target="http://bit.ly/ATRAX-DOI"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jenniferhollands@celltherapies.com.au" TargetMode="External"/><Relationship Id="rId44" Type="http://schemas.openxmlformats.org/officeDocument/2006/relationships/hyperlink" Target="https://tetraq.com.au/"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ppData\Roaming\Microsoft\Templates\TIATEMP-01(20Feb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3" ma:contentTypeDescription="Create a new document." ma:contentTypeScope="" ma:versionID="cc2e9fffd09a5222ff15f0b64fd54d81">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b8f03e6ade00ace0c094757a2939d9b7"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A5622-1F2C-41DF-A296-5CDF2D18352C}">
  <ds:schemaRefs>
    <ds:schemaRef ds:uri="http://schemas.openxmlformats.org/officeDocument/2006/bibliography"/>
  </ds:schemaRefs>
</ds:datastoreItem>
</file>

<file path=customXml/itemProps2.xml><?xml version="1.0" encoding="utf-8"?>
<ds:datastoreItem xmlns:ds="http://schemas.openxmlformats.org/officeDocument/2006/customXml" ds:itemID="{3269079F-9417-4549-B624-FE52199349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B6F363-52F6-4672-A4BD-ED0DA70E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a6c2-153e-4d94-9513-7b65fa78ac7a"/>
    <ds:schemaRef ds:uri="e52cef59-ecd5-4e4a-92b0-578973cc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22322-9F84-4CBB-90A0-D2C4EB390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C:\Users\Stewart\AppData\Roaming\Microsoft\Templates\TIATEMP-01(20Feb14).dotx</Template>
  <TotalTime>32</TotalTime>
  <Pages>7</Pages>
  <Words>2679</Words>
  <Characters>15273</Characters>
  <Application>Microsoft Office Word</Application>
  <DocSecurity>0</DocSecurity>
  <Lines>127</Lines>
  <Paragraphs>35</Paragraphs>
  <ScaleCrop>false</ScaleCrop>
  <Company>Therapeutic Innovation Australia</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Newman</dc:creator>
  <cp:keywords/>
  <cp:lastModifiedBy>Stuart Newman</cp:lastModifiedBy>
  <cp:revision>49</cp:revision>
  <cp:lastPrinted>2014-12-19T05:24:00Z</cp:lastPrinted>
  <dcterms:created xsi:type="dcterms:W3CDTF">2021-02-15T05:28:00Z</dcterms:created>
  <dcterms:modified xsi:type="dcterms:W3CDTF">2021-02-24T04:59:00Z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ies>
</file>