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DCFC" w14:textId="62F9E3E1" w:rsidR="00C54447" w:rsidRPr="00233397" w:rsidRDefault="00C54447" w:rsidP="00A61176">
      <w:pPr>
        <w:pStyle w:val="Title"/>
        <w:spacing w:after="240"/>
        <w:jc w:val="left"/>
        <w:rPr>
          <w:sz w:val="22"/>
          <w:szCs w:val="32"/>
        </w:rPr>
      </w:pPr>
    </w:p>
    <w:p w14:paraId="38463D5A" w14:textId="26C808CE" w:rsidR="007B5028" w:rsidRPr="00AC30E1" w:rsidRDefault="007B5028" w:rsidP="00507717">
      <w:pPr>
        <w:pStyle w:val="Title"/>
        <w:spacing w:after="240"/>
        <w:jc w:val="left"/>
        <w:rPr>
          <w:sz w:val="42"/>
          <w:szCs w:val="42"/>
        </w:rPr>
      </w:pPr>
      <w:r w:rsidRPr="00AC30E1">
        <w:rPr>
          <w:sz w:val="42"/>
          <w:szCs w:val="42"/>
        </w:rPr>
        <w:t>Pipeline Accelerator 2020-21 (Round 2</w:t>
      </w:r>
      <w:r w:rsidR="00B72404">
        <w:rPr>
          <w:sz w:val="42"/>
          <w:szCs w:val="42"/>
        </w:rPr>
        <w:t xml:space="preserve"> - Screening</w:t>
      </w:r>
      <w:r w:rsidRPr="00AC30E1">
        <w:rPr>
          <w:sz w:val="42"/>
          <w:szCs w:val="42"/>
        </w:rPr>
        <w:t>)</w:t>
      </w:r>
      <w:r w:rsidR="00507717" w:rsidRPr="00AC30E1">
        <w:rPr>
          <w:sz w:val="42"/>
          <w:szCs w:val="42"/>
        </w:rPr>
        <w:t xml:space="preserve"> </w:t>
      </w:r>
      <w:r w:rsidRPr="00AC30E1">
        <w:rPr>
          <w:sz w:val="42"/>
          <w:szCs w:val="42"/>
        </w:rPr>
        <w:t xml:space="preserve">Guidelines </w:t>
      </w:r>
    </w:p>
    <w:p w14:paraId="79AC6AA0" w14:textId="45B5B82B" w:rsidR="007B5028" w:rsidRPr="00494249" w:rsidRDefault="007B5028" w:rsidP="007B5028">
      <w:pPr>
        <w:pStyle w:val="Heading2"/>
      </w:pPr>
      <w:r w:rsidRPr="00494249">
        <w:t xml:space="preserve">Facilitating Access to </w:t>
      </w:r>
      <w:r w:rsidR="0052374A">
        <w:t xml:space="preserve">Australia’s </w:t>
      </w:r>
      <w:r w:rsidRPr="00494249">
        <w:t>Screening Capability</w:t>
      </w:r>
    </w:p>
    <w:p w14:paraId="66838085" w14:textId="51B2F7FC" w:rsidR="007B5028" w:rsidRPr="00494249" w:rsidRDefault="007B5028" w:rsidP="00075546">
      <w:pPr>
        <w:pStyle w:val="Heading2"/>
        <w:tabs>
          <w:tab w:val="left" w:pos="6285"/>
        </w:tabs>
      </w:pPr>
      <w:r w:rsidRPr="00494249">
        <w:t>Background</w:t>
      </w:r>
      <w:r w:rsidR="00075546">
        <w:tab/>
      </w:r>
    </w:p>
    <w:p w14:paraId="5DE66D05" w14:textId="77777777" w:rsidR="007B5028" w:rsidRPr="00494249" w:rsidRDefault="007B5028" w:rsidP="007B5028">
      <w:pPr>
        <w:rPr>
          <w:lang w:val="en-GB"/>
        </w:rPr>
      </w:pPr>
      <w:r w:rsidRPr="00494249">
        <w:t xml:space="preserve">The </w:t>
      </w:r>
      <w:r w:rsidRPr="00494249">
        <w:rPr>
          <w:b/>
        </w:rPr>
        <w:t>Australian Therapeutic Pipeline</w:t>
      </w:r>
      <w:r w:rsidRPr="00494249">
        <w:t xml:space="preserve"> (the “Pipeline”) is an initiative of TIA to bring together a diverse range of Australian translational medical research capabilities. </w:t>
      </w:r>
      <w:r w:rsidRPr="00494249">
        <w:rPr>
          <w:lang w:val="en-GB"/>
        </w:rPr>
        <w:t xml:space="preserve">An objective of the Pipeline initiative is to create the framework for a </w:t>
      </w:r>
      <w:r w:rsidRPr="00494249">
        <w:rPr>
          <w:bCs/>
          <w:lang w:val="en-GB"/>
        </w:rPr>
        <w:t>facilitated pathway</w:t>
      </w:r>
      <w:r w:rsidRPr="00494249">
        <w:rPr>
          <w:lang w:val="en-GB"/>
        </w:rPr>
        <w:t xml:space="preserve"> for researchers and industry (including SMEs) to access Pipeline members’ translational research capabilities. This can leverage public sector investment in such capabilities and reduce duplication. To support this aim, TIA has developed a voucher-style researcher access scheme - the </w:t>
      </w:r>
      <w:r w:rsidRPr="00494249">
        <w:rPr>
          <w:b/>
          <w:bCs/>
          <w:lang w:val="en-GB"/>
        </w:rPr>
        <w:t>Pipeline Accelerator</w:t>
      </w:r>
      <w:r w:rsidRPr="00494249">
        <w:rPr>
          <w:lang w:val="en-GB"/>
        </w:rPr>
        <w:t>.</w:t>
      </w:r>
    </w:p>
    <w:p w14:paraId="6BF13893" w14:textId="503A56AF" w:rsidR="007B5028" w:rsidRPr="00494249" w:rsidRDefault="007B5028" w:rsidP="007B5028">
      <w:pPr>
        <w:rPr>
          <w:lang w:val="en-GB"/>
        </w:rPr>
      </w:pPr>
      <w:r w:rsidRPr="00494249">
        <w:rPr>
          <w:lang w:val="en-GB"/>
        </w:rPr>
        <w:t xml:space="preserve">This round of the </w:t>
      </w:r>
      <w:r w:rsidRPr="00494249">
        <w:rPr>
          <w:b/>
          <w:bCs/>
          <w:lang w:val="en-GB"/>
        </w:rPr>
        <w:t>Pipeline Accelerator</w:t>
      </w:r>
      <w:r w:rsidRPr="00494249">
        <w:rPr>
          <w:lang w:val="en-GB"/>
        </w:rPr>
        <w:t xml:space="preserve"> scheme seeks to support meritorious therapeutic development projects that specifically relate to</w:t>
      </w:r>
      <w:r w:rsidRPr="00494249">
        <w:t xml:space="preserve"> </w:t>
      </w:r>
      <w:r w:rsidRPr="00494249">
        <w:rPr>
          <w:b/>
          <w:bCs/>
          <w:lang w:val="en-GB"/>
        </w:rPr>
        <w:t>assay development</w:t>
      </w:r>
      <w:r w:rsidRPr="00494249">
        <w:rPr>
          <w:lang w:val="en-GB"/>
        </w:rPr>
        <w:t xml:space="preserve"> for</w:t>
      </w:r>
      <w:r w:rsidRPr="00494249">
        <w:rPr>
          <w:b/>
          <w:bCs/>
          <w:lang w:val="en-GB"/>
        </w:rPr>
        <w:t xml:space="preserve"> </w:t>
      </w:r>
      <w:r w:rsidRPr="00494249">
        <w:rPr>
          <w:lang w:val="en-GB"/>
        </w:rPr>
        <w:t xml:space="preserve">screening of small molecule libraries against drug targets. </w:t>
      </w:r>
      <w:r w:rsidR="00813E90">
        <w:rPr>
          <w:lang w:val="en-GB"/>
        </w:rPr>
        <w:t>Considerations</w:t>
      </w:r>
      <w:r w:rsidR="00FD6EEC">
        <w:rPr>
          <w:lang w:val="en-GB"/>
        </w:rPr>
        <w:t xml:space="preserve"> will be given to </w:t>
      </w:r>
      <w:r w:rsidR="00813E90">
        <w:rPr>
          <w:lang w:val="en-GB"/>
        </w:rPr>
        <w:t>compounds</w:t>
      </w:r>
      <w:r w:rsidRPr="00494249">
        <w:rPr>
          <w:rFonts w:asciiTheme="majorHAnsi" w:hAnsiTheme="majorHAnsi" w:cstheme="majorBidi"/>
          <w:szCs w:val="22"/>
        </w:rPr>
        <w:t xml:space="preserve"> screening and hit validation</w:t>
      </w:r>
      <w:r w:rsidRPr="00494249">
        <w:rPr>
          <w:lang w:val="en-GB"/>
        </w:rPr>
        <w:t xml:space="preserve"> project</w:t>
      </w:r>
      <w:r w:rsidR="00813E90">
        <w:rPr>
          <w:lang w:val="en-GB"/>
        </w:rPr>
        <w:t>s</w:t>
      </w:r>
      <w:r w:rsidRPr="00494249">
        <w:rPr>
          <w:lang w:val="en-GB"/>
        </w:rPr>
        <w:t xml:space="preserve">. </w:t>
      </w:r>
    </w:p>
    <w:p w14:paraId="20143E7D" w14:textId="77777777" w:rsidR="007B5028" w:rsidRPr="00494249" w:rsidRDefault="007B5028" w:rsidP="007B5028">
      <w:pPr>
        <w:pStyle w:val="Heading2"/>
      </w:pPr>
      <w:r w:rsidRPr="00494249">
        <w:t>Scheme Objectives and Key Features</w:t>
      </w:r>
    </w:p>
    <w:p w14:paraId="43AE0838" w14:textId="510CC4CA" w:rsidR="007B5028" w:rsidRPr="00494249" w:rsidRDefault="007B5028" w:rsidP="007B5028">
      <w:pPr>
        <w:rPr>
          <w:lang w:val="en-GB"/>
        </w:rPr>
      </w:pPr>
      <w:r w:rsidRPr="00494249">
        <w:rPr>
          <w:lang w:val="en-GB"/>
        </w:rPr>
        <w:t xml:space="preserve">The Accelerator scheme is designed to be able to respond quickly to the needs of researchers and industry by facilitating access to the expertise available in </w:t>
      </w:r>
      <w:r w:rsidR="001F61C3">
        <w:rPr>
          <w:lang w:val="en-GB"/>
        </w:rPr>
        <w:t>HTS facilities</w:t>
      </w:r>
      <w:r w:rsidRPr="00494249">
        <w:rPr>
          <w:lang w:val="en-GB"/>
        </w:rPr>
        <w:t xml:space="preserve">. The scheme has three key participants, </w:t>
      </w:r>
      <w:r w:rsidRPr="00494249">
        <w:rPr>
          <w:b/>
          <w:bCs/>
          <w:lang w:val="en-GB"/>
        </w:rPr>
        <w:t>Providers</w:t>
      </w:r>
      <w:r w:rsidRPr="00494249">
        <w:rPr>
          <w:lang w:val="en-GB"/>
        </w:rPr>
        <w:t xml:space="preserve">, </w:t>
      </w:r>
      <w:r w:rsidRPr="00494249">
        <w:rPr>
          <w:b/>
          <w:bCs/>
          <w:lang w:val="en-GB"/>
        </w:rPr>
        <w:t>Applicants</w:t>
      </w:r>
      <w:r w:rsidRPr="00494249">
        <w:rPr>
          <w:lang w:val="en-GB"/>
        </w:rPr>
        <w:t xml:space="preserve"> and </w:t>
      </w:r>
      <w:r w:rsidRPr="00494249">
        <w:rPr>
          <w:b/>
          <w:bCs/>
          <w:lang w:val="en-GB"/>
        </w:rPr>
        <w:t>TIA</w:t>
      </w:r>
      <w:r w:rsidRPr="00494249">
        <w:rPr>
          <w:lang w:val="en-GB"/>
        </w:rPr>
        <w:t xml:space="preserve">. For </w:t>
      </w:r>
      <w:r w:rsidRPr="00494249">
        <w:rPr>
          <w:b/>
          <w:bCs/>
          <w:lang w:val="en-GB"/>
        </w:rPr>
        <w:t>Providers</w:t>
      </w:r>
      <w:r w:rsidRPr="00494249">
        <w:rPr>
          <w:lang w:val="en-GB"/>
        </w:rPr>
        <w:t xml:space="preserve"> (</w:t>
      </w:r>
      <w:r w:rsidR="0054641A">
        <w:rPr>
          <w:lang w:val="en-GB"/>
        </w:rPr>
        <w:t>HTS</w:t>
      </w:r>
      <w:r w:rsidRPr="00494249">
        <w:rPr>
          <w:lang w:val="en-GB"/>
        </w:rPr>
        <w:t xml:space="preserve"> facilities</w:t>
      </w:r>
      <w:r w:rsidR="00CC4438">
        <w:rPr>
          <w:lang w:val="en-GB"/>
        </w:rPr>
        <w:t xml:space="preserve"> selected by TIA</w:t>
      </w:r>
      <w:r w:rsidRPr="00494249">
        <w:rPr>
          <w:lang w:val="en-GB"/>
        </w:rPr>
        <w:t>), the general aims of the scheme common to all rounds are to:</w:t>
      </w:r>
    </w:p>
    <w:p w14:paraId="067E18C6" w14:textId="77777777" w:rsidR="007B5028" w:rsidRPr="00494249" w:rsidRDefault="007B5028" w:rsidP="007B5028">
      <w:pPr>
        <w:pStyle w:val="ListParagraph"/>
        <w:numPr>
          <w:ilvl w:val="0"/>
          <w:numId w:val="10"/>
        </w:numPr>
        <w:rPr>
          <w:lang w:val="en-GB"/>
        </w:rPr>
      </w:pPr>
      <w:r w:rsidRPr="00494249">
        <w:rPr>
          <w:lang w:val="en-GB"/>
        </w:rPr>
        <w:t xml:space="preserve">Enable and increase external business from SMEs and </w:t>
      </w:r>
      <w:proofErr w:type="gramStart"/>
      <w:r w:rsidRPr="00494249">
        <w:rPr>
          <w:lang w:val="en-GB"/>
        </w:rPr>
        <w:t>publicly-funded</w:t>
      </w:r>
      <w:proofErr w:type="gramEnd"/>
      <w:r w:rsidRPr="00494249">
        <w:rPr>
          <w:lang w:val="en-GB"/>
        </w:rPr>
        <w:t xml:space="preserve"> research groups</w:t>
      </w:r>
    </w:p>
    <w:p w14:paraId="2E8921E6" w14:textId="77777777" w:rsidR="007B5028" w:rsidRPr="00494249" w:rsidRDefault="007B5028" w:rsidP="007B5028">
      <w:pPr>
        <w:pStyle w:val="ListParagraph"/>
        <w:numPr>
          <w:ilvl w:val="0"/>
          <w:numId w:val="10"/>
        </w:numPr>
        <w:rPr>
          <w:lang w:val="en-GB"/>
        </w:rPr>
      </w:pPr>
      <w:r w:rsidRPr="00494249">
        <w:rPr>
          <w:lang w:val="en-GB"/>
        </w:rPr>
        <w:t>Raise the profile of the TIA facilities and their capabilities within the Australian research community</w:t>
      </w:r>
    </w:p>
    <w:p w14:paraId="5DE63059" w14:textId="77777777" w:rsidR="007B5028" w:rsidRPr="00494249" w:rsidRDefault="007B5028" w:rsidP="007B5028">
      <w:pPr>
        <w:pStyle w:val="ListParagraph"/>
        <w:numPr>
          <w:ilvl w:val="0"/>
          <w:numId w:val="10"/>
        </w:numPr>
        <w:rPr>
          <w:lang w:val="en-GB"/>
        </w:rPr>
      </w:pPr>
      <w:r w:rsidRPr="00494249">
        <w:rPr>
          <w:lang w:val="en-GB"/>
        </w:rPr>
        <w:t>Incentivise collaborative projects, leading to more effective use of research infrastructure</w:t>
      </w:r>
    </w:p>
    <w:p w14:paraId="62D99E39" w14:textId="77777777" w:rsidR="007B5028" w:rsidRPr="00494249" w:rsidRDefault="007B5028" w:rsidP="007B5028">
      <w:pPr>
        <w:rPr>
          <w:lang w:val="en-GB"/>
        </w:rPr>
      </w:pPr>
      <w:r w:rsidRPr="00494249">
        <w:rPr>
          <w:lang w:val="en-GB"/>
        </w:rPr>
        <w:t xml:space="preserve">For </w:t>
      </w:r>
      <w:r w:rsidRPr="00494249">
        <w:rPr>
          <w:b/>
          <w:lang w:val="en-GB"/>
        </w:rPr>
        <w:t>Applicants</w:t>
      </w:r>
      <w:r w:rsidRPr="00494249">
        <w:rPr>
          <w:lang w:val="en-GB"/>
        </w:rPr>
        <w:t xml:space="preserve"> (public and private sector researchers) the aims of the scheme are to:</w:t>
      </w:r>
    </w:p>
    <w:p w14:paraId="5197CD05" w14:textId="77777777" w:rsidR="007B5028" w:rsidRPr="00494249" w:rsidRDefault="007B5028" w:rsidP="007B5028">
      <w:pPr>
        <w:pStyle w:val="ListParagraph"/>
        <w:numPr>
          <w:ilvl w:val="0"/>
          <w:numId w:val="10"/>
        </w:numPr>
        <w:rPr>
          <w:lang w:val="en-GB"/>
        </w:rPr>
      </w:pPr>
      <w:r w:rsidRPr="00494249">
        <w:rPr>
          <w:lang w:val="en-GB"/>
        </w:rPr>
        <w:t xml:space="preserve">Provide a mechanism for financially supporting and enabling hard-to-fund activities </w:t>
      </w:r>
    </w:p>
    <w:p w14:paraId="47A10A43" w14:textId="77777777" w:rsidR="007B5028" w:rsidRPr="00494249" w:rsidRDefault="007B5028" w:rsidP="007B5028">
      <w:pPr>
        <w:pStyle w:val="ListParagraph"/>
        <w:numPr>
          <w:ilvl w:val="0"/>
          <w:numId w:val="10"/>
        </w:numPr>
        <w:rPr>
          <w:lang w:val="en-GB"/>
        </w:rPr>
      </w:pPr>
      <w:r w:rsidRPr="00494249">
        <w:rPr>
          <w:lang w:val="en-GB"/>
        </w:rPr>
        <w:t>Lower the financial bar to access high quality translational research services</w:t>
      </w:r>
    </w:p>
    <w:p w14:paraId="08139731" w14:textId="4A6FC6ED" w:rsidR="007B5028" w:rsidRPr="00494249" w:rsidRDefault="007B5028" w:rsidP="007B5028">
      <w:pPr>
        <w:spacing w:after="0"/>
        <w:rPr>
          <w:lang w:val="en-GB"/>
        </w:rPr>
      </w:pPr>
      <w:r w:rsidRPr="00494249">
        <w:rPr>
          <w:lang w:val="en-GB"/>
        </w:rPr>
        <w:t xml:space="preserve">To obtain a voucher, the project must require access to a TIA-supported </w:t>
      </w:r>
      <w:r w:rsidR="005763AA">
        <w:rPr>
          <w:lang w:val="en-GB"/>
        </w:rPr>
        <w:t xml:space="preserve">HTS </w:t>
      </w:r>
      <w:r w:rsidRPr="00494249">
        <w:rPr>
          <w:lang w:val="en-GB"/>
        </w:rPr>
        <w:t xml:space="preserve">facility (see </w:t>
      </w:r>
      <w:r w:rsidRPr="00494249">
        <w:rPr>
          <w:b/>
          <w:bCs/>
          <w:color w:val="4F80BD"/>
          <w:lang w:val="en-GB"/>
        </w:rPr>
        <w:t>Eligibility of Providers</w:t>
      </w:r>
      <w:r w:rsidRPr="00494249">
        <w:rPr>
          <w:lang w:val="en-GB"/>
        </w:rPr>
        <w:t xml:space="preserve"> below). Applications must be made with the Providers involvement and agreement. Funding is via a fixed-value allocation of </w:t>
      </w:r>
      <w:r w:rsidRPr="00494249">
        <w:rPr>
          <w:b/>
          <w:bCs/>
          <w:lang w:val="en-GB"/>
        </w:rPr>
        <w:t>either</w:t>
      </w:r>
      <w:r w:rsidRPr="00494249">
        <w:rPr>
          <w:lang w:val="en-GB"/>
        </w:rPr>
        <w:t xml:space="preserve"> $10,000 ex GST, $20,000 ex GST </w:t>
      </w:r>
      <w:r w:rsidRPr="00494249">
        <w:rPr>
          <w:b/>
          <w:bCs/>
          <w:lang w:val="en-GB"/>
        </w:rPr>
        <w:t>or</w:t>
      </w:r>
      <w:r w:rsidRPr="00494249">
        <w:rPr>
          <w:lang w:val="en-GB"/>
        </w:rPr>
        <w:t xml:space="preserve"> $50,000 ex GST, and will be provided directly to the service provider at project commencement, </w:t>
      </w:r>
      <w:r w:rsidRPr="00494249">
        <w:rPr>
          <w:b/>
          <w:bCs/>
          <w:lang w:val="en-GB"/>
        </w:rPr>
        <w:t>allowing this cost saving to be passed to the Applicant</w:t>
      </w:r>
      <w:r w:rsidRPr="00494249">
        <w:rPr>
          <w:lang w:val="en-GB"/>
        </w:rPr>
        <w:t xml:space="preserve">. The voucher may </w:t>
      </w:r>
      <w:r w:rsidRPr="00494249">
        <w:rPr>
          <w:b/>
          <w:bCs/>
          <w:lang w:val="en-GB"/>
        </w:rPr>
        <w:t>contribute</w:t>
      </w:r>
      <w:r w:rsidRPr="00494249">
        <w:rPr>
          <w:lang w:val="en-GB"/>
        </w:rPr>
        <w:t xml:space="preserve"> to the cost of accessing a facility but cannot cover or exceed the entire cost.</w:t>
      </w:r>
    </w:p>
    <w:p w14:paraId="729BE706" w14:textId="77777777" w:rsidR="007B5028" w:rsidRPr="00494249" w:rsidRDefault="007B5028" w:rsidP="007B5028">
      <w:pPr>
        <w:tabs>
          <w:tab w:val="left" w:pos="3148"/>
        </w:tabs>
        <w:rPr>
          <w:lang w:val="en-GB"/>
        </w:rPr>
      </w:pPr>
      <w:r w:rsidRPr="00494249">
        <w:rPr>
          <w:lang w:val="en-GB"/>
        </w:rPr>
        <w:tab/>
      </w:r>
      <w:r w:rsidRPr="00494249">
        <w:rPr>
          <w:lang w:val="en-GB"/>
        </w:rPr>
        <w:tab/>
      </w:r>
    </w:p>
    <w:p w14:paraId="61FAC22B" w14:textId="77777777" w:rsidR="007B5028" w:rsidRPr="00494249" w:rsidRDefault="007B5028" w:rsidP="007B5028">
      <w:pPr>
        <w:rPr>
          <w:lang w:val="en-GB"/>
        </w:rPr>
      </w:pPr>
      <w:r w:rsidRPr="00494249">
        <w:rPr>
          <w:lang w:val="en-GB"/>
        </w:rPr>
        <w:t xml:space="preserve">For </w:t>
      </w:r>
      <w:proofErr w:type="gramStart"/>
      <w:r w:rsidRPr="00494249">
        <w:rPr>
          <w:b/>
          <w:lang w:val="en-GB"/>
        </w:rPr>
        <w:t>TIA</w:t>
      </w:r>
      <w:proofErr w:type="gramEnd"/>
      <w:r w:rsidRPr="00494249">
        <w:rPr>
          <w:lang w:val="en-GB"/>
        </w:rPr>
        <w:t xml:space="preserve"> the aims of the scheme are to</w:t>
      </w:r>
    </w:p>
    <w:p w14:paraId="6BF7E886" w14:textId="77777777" w:rsidR="007B5028" w:rsidRPr="00494249" w:rsidRDefault="007B5028" w:rsidP="007B5028">
      <w:pPr>
        <w:pStyle w:val="ListParagraph"/>
        <w:numPr>
          <w:ilvl w:val="0"/>
          <w:numId w:val="10"/>
        </w:numPr>
        <w:rPr>
          <w:lang w:val="en-GB"/>
        </w:rPr>
      </w:pPr>
      <w:r w:rsidRPr="00494249">
        <w:rPr>
          <w:lang w:val="en-GB"/>
        </w:rPr>
        <w:t xml:space="preserve">Support access to facilities </w:t>
      </w:r>
    </w:p>
    <w:p w14:paraId="20A05504" w14:textId="77777777" w:rsidR="007B5028" w:rsidRPr="00494249" w:rsidRDefault="007B5028" w:rsidP="007B5028">
      <w:pPr>
        <w:pStyle w:val="ListParagraph"/>
        <w:numPr>
          <w:ilvl w:val="0"/>
          <w:numId w:val="10"/>
        </w:numPr>
        <w:rPr>
          <w:lang w:val="en-GB"/>
        </w:rPr>
      </w:pPr>
      <w:r w:rsidRPr="00494249">
        <w:rPr>
          <w:lang w:val="en-GB"/>
        </w:rPr>
        <w:t>Enable co-investment with NCRIS funding</w:t>
      </w:r>
    </w:p>
    <w:p w14:paraId="41EA4981" w14:textId="77777777" w:rsidR="007B5028" w:rsidRPr="00494249" w:rsidRDefault="007B5028" w:rsidP="007B5028">
      <w:pPr>
        <w:pStyle w:val="ListParagraph"/>
        <w:numPr>
          <w:ilvl w:val="0"/>
          <w:numId w:val="10"/>
        </w:numPr>
        <w:rPr>
          <w:lang w:val="en-GB"/>
        </w:rPr>
      </w:pPr>
      <w:r w:rsidRPr="00494249">
        <w:rPr>
          <w:lang w:val="en-GB"/>
        </w:rPr>
        <w:t>Increase external access to national research infrastructure</w:t>
      </w:r>
    </w:p>
    <w:p w14:paraId="5412A58A" w14:textId="77777777" w:rsidR="007B5028" w:rsidRPr="00494249" w:rsidRDefault="007B5028" w:rsidP="007B5028">
      <w:pPr>
        <w:pStyle w:val="ListParagraph"/>
        <w:numPr>
          <w:ilvl w:val="0"/>
          <w:numId w:val="10"/>
        </w:numPr>
        <w:rPr>
          <w:lang w:val="en-GB"/>
        </w:rPr>
      </w:pPr>
      <w:r w:rsidRPr="00494249">
        <w:rPr>
          <w:lang w:val="en-GB"/>
        </w:rPr>
        <w:t>Provide a means to identify and track progress of supported projects</w:t>
      </w:r>
    </w:p>
    <w:p w14:paraId="6A658A81" w14:textId="77777777" w:rsidR="007B5028" w:rsidRPr="00494249" w:rsidRDefault="007B5028" w:rsidP="007B5028">
      <w:pPr>
        <w:pStyle w:val="ListParagraph"/>
        <w:numPr>
          <w:ilvl w:val="0"/>
          <w:numId w:val="10"/>
        </w:numPr>
        <w:rPr>
          <w:lang w:val="en-GB"/>
        </w:rPr>
      </w:pPr>
      <w:r w:rsidRPr="00494249">
        <w:rPr>
          <w:lang w:val="en-GB"/>
        </w:rPr>
        <w:t>Provide case studies and exemplars for TIA reporting to government</w:t>
      </w:r>
    </w:p>
    <w:p w14:paraId="547F5BDE" w14:textId="77777777" w:rsidR="007B5028" w:rsidRPr="00494249" w:rsidRDefault="007B5028" w:rsidP="007B5028">
      <w:pPr>
        <w:pStyle w:val="Heading2"/>
        <w:rPr>
          <w:lang w:val="en-GB"/>
        </w:rPr>
      </w:pPr>
      <w:r w:rsidRPr="00494249">
        <w:rPr>
          <w:lang w:val="en-GB"/>
        </w:rPr>
        <w:lastRenderedPageBreak/>
        <w:t>Eligibility of Applicants</w:t>
      </w:r>
    </w:p>
    <w:p w14:paraId="34F427CB" w14:textId="77777777" w:rsidR="007B5028" w:rsidRPr="00494249" w:rsidRDefault="007B5028" w:rsidP="007B5028">
      <w:pPr>
        <w:rPr>
          <w:lang w:val="en-GB"/>
        </w:rPr>
      </w:pPr>
      <w:r w:rsidRPr="00494249">
        <w:rPr>
          <w:lang w:val="en-GB"/>
        </w:rPr>
        <w:t>The Pipeline Accelerator scheme is open to applications from the following organisations:</w:t>
      </w:r>
    </w:p>
    <w:p w14:paraId="15A76FEA" w14:textId="77777777" w:rsidR="007B5028" w:rsidRPr="00494249" w:rsidRDefault="007B5028" w:rsidP="007B5028">
      <w:pPr>
        <w:pStyle w:val="ListParagraph"/>
        <w:numPr>
          <w:ilvl w:val="0"/>
          <w:numId w:val="12"/>
        </w:numPr>
        <w:rPr>
          <w:lang w:val="en-GB"/>
        </w:rPr>
      </w:pPr>
      <w:r w:rsidRPr="00494249">
        <w:rPr>
          <w:lang w:val="en-GB"/>
        </w:rPr>
        <w:t>University-based researchers and research groups</w:t>
      </w:r>
    </w:p>
    <w:p w14:paraId="537D1D54" w14:textId="77777777" w:rsidR="007B5028" w:rsidRPr="00494249" w:rsidRDefault="007B5028" w:rsidP="007B5028">
      <w:pPr>
        <w:pStyle w:val="ListParagraph"/>
        <w:numPr>
          <w:ilvl w:val="0"/>
          <w:numId w:val="12"/>
        </w:numPr>
        <w:rPr>
          <w:lang w:val="en-GB"/>
        </w:rPr>
      </w:pPr>
      <w:r w:rsidRPr="00494249">
        <w:rPr>
          <w:lang w:val="en-GB"/>
        </w:rPr>
        <w:t>Research groups within Publicly Funded Research Organisations, including Medical Research Institutes</w:t>
      </w:r>
    </w:p>
    <w:p w14:paraId="01DAF7A3" w14:textId="77777777" w:rsidR="007B5028" w:rsidRPr="00494249" w:rsidRDefault="007B5028" w:rsidP="007B5028">
      <w:pPr>
        <w:pStyle w:val="ListParagraph"/>
        <w:numPr>
          <w:ilvl w:val="0"/>
          <w:numId w:val="12"/>
        </w:numPr>
        <w:rPr>
          <w:lang w:val="en-GB"/>
        </w:rPr>
      </w:pPr>
      <w:r w:rsidRPr="00494249">
        <w:rPr>
          <w:lang w:val="en-GB"/>
        </w:rPr>
        <w:t xml:space="preserve">University or Medical Research Institute’s technology transfer offices or organisations, and university/MRI </w:t>
      </w:r>
      <w:proofErr w:type="gramStart"/>
      <w:r w:rsidRPr="00494249">
        <w:rPr>
          <w:lang w:val="en-GB"/>
        </w:rPr>
        <w:t>spin-outs</w:t>
      </w:r>
      <w:proofErr w:type="gramEnd"/>
    </w:p>
    <w:p w14:paraId="485ACCB4" w14:textId="77777777" w:rsidR="007B5028" w:rsidRPr="00494249" w:rsidRDefault="007B5028" w:rsidP="007B5028">
      <w:pPr>
        <w:pStyle w:val="ListParagraph"/>
        <w:numPr>
          <w:ilvl w:val="0"/>
          <w:numId w:val="12"/>
        </w:numPr>
        <w:rPr>
          <w:lang w:val="en-GB"/>
        </w:rPr>
      </w:pPr>
      <w:r w:rsidRPr="00494249">
        <w:rPr>
          <w:lang w:val="en-GB"/>
        </w:rPr>
        <w:t xml:space="preserve">Commercial entities that meet the general eligibility criteria for the </w:t>
      </w:r>
      <w:hyperlink r:id="rId11" w:history="1">
        <w:r w:rsidRPr="00494249">
          <w:rPr>
            <w:rStyle w:val="Hyperlink"/>
            <w:lang w:val="en-GB"/>
          </w:rPr>
          <w:t>R&amp;D Tax Incentive</w:t>
        </w:r>
      </w:hyperlink>
      <w:r w:rsidRPr="00494249">
        <w:rPr>
          <w:lang w:val="en-GB"/>
        </w:rPr>
        <w:t>.</w:t>
      </w:r>
    </w:p>
    <w:p w14:paraId="5E6C00D7" w14:textId="6C78286F" w:rsidR="007B5028" w:rsidRPr="00214DB9" w:rsidRDefault="007B5028" w:rsidP="007B5028">
      <w:pPr>
        <w:pStyle w:val="ListParagraph"/>
        <w:numPr>
          <w:ilvl w:val="0"/>
          <w:numId w:val="12"/>
        </w:numPr>
        <w:rPr>
          <w:lang w:val="en-GB"/>
        </w:rPr>
      </w:pPr>
      <w:r w:rsidRPr="00494249">
        <w:rPr>
          <w:b/>
          <w:bCs/>
          <w:lang w:val="en-GB"/>
        </w:rPr>
        <w:t>Applications from international organisations will also be considered.</w:t>
      </w:r>
    </w:p>
    <w:p w14:paraId="706914B7" w14:textId="77777777" w:rsidR="007B5028" w:rsidRPr="00494249" w:rsidRDefault="007B5028" w:rsidP="007B5028">
      <w:pPr>
        <w:pStyle w:val="Heading2"/>
        <w:rPr>
          <w:lang w:val="en-GB"/>
        </w:rPr>
      </w:pPr>
      <w:r w:rsidRPr="00494249">
        <w:rPr>
          <w:lang w:val="en-GB"/>
        </w:rPr>
        <w:t>Eligibility of Providers</w:t>
      </w:r>
    </w:p>
    <w:p w14:paraId="0A4C9DCE" w14:textId="77777777" w:rsidR="007B5028" w:rsidRPr="00494249" w:rsidRDefault="007B5028" w:rsidP="007B5028">
      <w:pPr>
        <w:rPr>
          <w:color w:val="000000" w:themeColor="text1"/>
          <w:lang w:val="en-GB"/>
        </w:rPr>
      </w:pPr>
      <w:r w:rsidRPr="00494249">
        <w:rPr>
          <w:rFonts w:cs="Calibri"/>
          <w:b/>
          <w:bCs/>
          <w:color w:val="000000" w:themeColor="text1"/>
          <w:u w:val="single"/>
          <w:lang w:val="en-GB"/>
        </w:rPr>
        <w:t>Only</w:t>
      </w:r>
      <w:r w:rsidRPr="00494249">
        <w:rPr>
          <w:rFonts w:cs="Calibri"/>
          <w:color w:val="000000" w:themeColor="text1"/>
          <w:lang w:val="en-GB"/>
        </w:rPr>
        <w:t xml:space="preserve"> the following facilities are eligible for voucher support from this round of the scheme (“Providers”). Multiple Providers can be named on a single application if the project makes use of capabilities at several different facilities. </w:t>
      </w:r>
      <w:r w:rsidRPr="00494249">
        <w:rPr>
          <w:color w:val="000000" w:themeColor="text1"/>
          <w:lang w:val="en-GB"/>
        </w:rPr>
        <w:t>This list of providers may be amended for future rounds, subject to demand.</w:t>
      </w:r>
    </w:p>
    <w:tbl>
      <w:tblPr>
        <w:tblStyle w:val="GridTable4-Accent1"/>
        <w:tblW w:w="9315" w:type="dxa"/>
        <w:tblLayout w:type="fixed"/>
        <w:tblLook w:val="04A0" w:firstRow="1" w:lastRow="0" w:firstColumn="1" w:lastColumn="0" w:noHBand="0" w:noVBand="1"/>
      </w:tblPr>
      <w:tblGrid>
        <w:gridCol w:w="2848"/>
        <w:gridCol w:w="2473"/>
        <w:gridCol w:w="3994"/>
      </w:tblGrid>
      <w:tr w:rsidR="007B5028" w:rsidRPr="00494249" w14:paraId="365F45C9" w14:textId="77777777" w:rsidTr="006F01AB">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384E9BE9" w14:textId="77777777" w:rsidR="007B5028" w:rsidRPr="00494249" w:rsidRDefault="007B5028" w:rsidP="006F01AB">
            <w:pPr>
              <w:spacing w:after="0"/>
              <w:rPr>
                <w:rFonts w:eastAsia="Times New Roman" w:cs="Calibri"/>
                <w:sz w:val="20"/>
              </w:rPr>
            </w:pPr>
            <w:r w:rsidRPr="00494249">
              <w:rPr>
                <w:rFonts w:eastAsia="Times New Roman" w:cs="Calibri"/>
                <w:sz w:val="20"/>
              </w:rPr>
              <w:t>Facility Name</w:t>
            </w:r>
          </w:p>
        </w:tc>
        <w:tc>
          <w:tcPr>
            <w:tcW w:w="2473" w:type="dxa"/>
            <w:noWrap/>
            <w:vAlign w:val="center"/>
            <w:hideMark/>
          </w:tcPr>
          <w:p w14:paraId="3AC01CB3" w14:textId="77777777" w:rsidR="007B5028" w:rsidRPr="00494249" w:rsidRDefault="007B5028" w:rsidP="006F01AB">
            <w:pPr>
              <w:spacing w:after="0"/>
              <w:cnfStyle w:val="100000000000" w:firstRow="1"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Contact(s)</w:t>
            </w:r>
          </w:p>
        </w:tc>
        <w:tc>
          <w:tcPr>
            <w:tcW w:w="3994" w:type="dxa"/>
            <w:noWrap/>
            <w:vAlign w:val="center"/>
            <w:hideMark/>
          </w:tcPr>
          <w:p w14:paraId="7719DDCF" w14:textId="77777777" w:rsidR="007B5028" w:rsidRPr="00494249" w:rsidRDefault="007B5028" w:rsidP="006F01AB">
            <w:pPr>
              <w:spacing w:after="0"/>
              <w:cnfStyle w:val="100000000000" w:firstRow="1"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Email</w:t>
            </w:r>
          </w:p>
        </w:tc>
      </w:tr>
      <w:tr w:rsidR="007B5028" w:rsidRPr="00494249" w14:paraId="1D7163B8" w14:textId="77777777" w:rsidTr="006F0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000505F7" w14:textId="77777777" w:rsidR="007B5028" w:rsidRPr="00494249" w:rsidRDefault="000A4DA2" w:rsidP="006F01AB">
            <w:pPr>
              <w:spacing w:after="0"/>
              <w:rPr>
                <w:rFonts w:eastAsia="Times New Roman" w:cs="Calibri"/>
                <w:sz w:val="20"/>
              </w:rPr>
            </w:pPr>
            <w:hyperlink r:id="rId12" w:history="1">
              <w:r w:rsidR="007B5028" w:rsidRPr="00494249">
                <w:rPr>
                  <w:rStyle w:val="Hyperlink"/>
                  <w:rFonts w:eastAsia="Times New Roman" w:cs="Calibri"/>
                  <w:sz w:val="18"/>
                  <w:szCs w:val="18"/>
                </w:rPr>
                <w:t>ACRF Drug Discovery Centre for Childhood Cancer (Children's Cancer Institute)</w:t>
              </w:r>
            </w:hyperlink>
          </w:p>
        </w:tc>
        <w:tc>
          <w:tcPr>
            <w:tcW w:w="2473" w:type="dxa"/>
            <w:noWrap/>
            <w:vAlign w:val="center"/>
            <w:hideMark/>
          </w:tcPr>
          <w:p w14:paraId="5BC29551" w14:textId="77777777" w:rsidR="007B5028" w:rsidRPr="00494249" w:rsidRDefault="007B5028" w:rsidP="006F01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sidRPr="00494249">
              <w:rPr>
                <w:rFonts w:eastAsia="Times New Roman" w:cs="Calibri"/>
                <w:sz w:val="20"/>
              </w:rPr>
              <w:t>Greg Arndt</w:t>
            </w:r>
          </w:p>
          <w:p w14:paraId="52E7344B" w14:textId="77777777" w:rsidR="007B5028" w:rsidRPr="00494249" w:rsidRDefault="007B5028" w:rsidP="006F01AB">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sidRPr="00494249">
              <w:rPr>
                <w:rFonts w:eastAsia="Times New Roman" w:cs="Calibri"/>
                <w:sz w:val="20"/>
              </w:rPr>
              <w:t>Andrew Stone</w:t>
            </w:r>
          </w:p>
          <w:p w14:paraId="0ACE1038"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 xml:space="preserve">Tim </w:t>
            </w:r>
            <w:proofErr w:type="spellStart"/>
            <w:r w:rsidRPr="00494249">
              <w:rPr>
                <w:rFonts w:eastAsia="Times New Roman" w:cs="Calibri"/>
                <w:sz w:val="20"/>
              </w:rPr>
              <w:t>Failes</w:t>
            </w:r>
            <w:proofErr w:type="spellEnd"/>
          </w:p>
        </w:tc>
        <w:tc>
          <w:tcPr>
            <w:tcW w:w="3994" w:type="dxa"/>
            <w:noWrap/>
            <w:vAlign w:val="center"/>
            <w:hideMark/>
          </w:tcPr>
          <w:p w14:paraId="1E50E832" w14:textId="77777777" w:rsidR="007B5028" w:rsidRPr="00494249" w:rsidRDefault="000A4DA2" w:rsidP="006F01AB">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hyperlink r:id="rId13" w:history="1">
              <w:r w:rsidR="007B5028" w:rsidRPr="00494249">
                <w:rPr>
                  <w:rStyle w:val="Hyperlink"/>
                  <w:rFonts w:eastAsia="Times New Roman" w:cs="Calibri"/>
                  <w:sz w:val="18"/>
                  <w:szCs w:val="18"/>
                </w:rPr>
                <w:t>garndt@ccia.org.au</w:t>
              </w:r>
            </w:hyperlink>
          </w:p>
          <w:p w14:paraId="20E89451" w14:textId="77777777" w:rsidR="007B5028" w:rsidRPr="00494249" w:rsidRDefault="000A4DA2" w:rsidP="006F01AB">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hyperlink r:id="rId14" w:history="1">
              <w:r w:rsidR="007B5028" w:rsidRPr="00494249">
                <w:rPr>
                  <w:rStyle w:val="Hyperlink"/>
                  <w:rFonts w:eastAsia="Times New Roman" w:cs="Calibri"/>
                  <w:sz w:val="18"/>
                  <w:szCs w:val="18"/>
                </w:rPr>
                <w:t>AStone@ccia.org.au</w:t>
              </w:r>
            </w:hyperlink>
          </w:p>
          <w:p w14:paraId="158EAC36" w14:textId="77777777" w:rsidR="007B5028" w:rsidRPr="00494249" w:rsidRDefault="000A4DA2"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hyperlink r:id="rId15" w:history="1">
              <w:r w:rsidR="007B5028" w:rsidRPr="00494249">
                <w:rPr>
                  <w:rStyle w:val="Hyperlink"/>
                  <w:rFonts w:eastAsia="Times New Roman" w:cs="Calibri"/>
                  <w:sz w:val="18"/>
                  <w:szCs w:val="18"/>
                </w:rPr>
                <w:t>tfailes@ccia.org.au</w:t>
              </w:r>
            </w:hyperlink>
          </w:p>
        </w:tc>
      </w:tr>
      <w:tr w:rsidR="007B5028" w:rsidRPr="00494249" w14:paraId="506B603F" w14:textId="77777777" w:rsidTr="006F01AB">
        <w:trPr>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220B43FE" w14:textId="77777777" w:rsidR="007B5028" w:rsidRPr="00494249" w:rsidRDefault="000A4DA2" w:rsidP="006F01AB">
            <w:pPr>
              <w:spacing w:after="0"/>
              <w:rPr>
                <w:rFonts w:eastAsia="Times New Roman" w:cs="Calibri"/>
                <w:sz w:val="20"/>
              </w:rPr>
            </w:pPr>
            <w:hyperlink r:id="rId16" w:history="1">
              <w:r w:rsidR="007B5028" w:rsidRPr="00494249">
                <w:rPr>
                  <w:rStyle w:val="Hyperlink"/>
                  <w:rFonts w:eastAsia="Times New Roman" w:cs="Calibri"/>
                  <w:sz w:val="18"/>
                  <w:szCs w:val="18"/>
                </w:rPr>
                <w:t>ANU Centre for Therapeutic Discovery (ANU)</w:t>
              </w:r>
            </w:hyperlink>
          </w:p>
        </w:tc>
        <w:tc>
          <w:tcPr>
            <w:tcW w:w="2473" w:type="dxa"/>
            <w:noWrap/>
            <w:vAlign w:val="center"/>
            <w:hideMark/>
          </w:tcPr>
          <w:p w14:paraId="253C18F4"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Amee George</w:t>
            </w:r>
          </w:p>
        </w:tc>
        <w:tc>
          <w:tcPr>
            <w:tcW w:w="3994" w:type="dxa"/>
            <w:noWrap/>
            <w:vAlign w:val="center"/>
            <w:hideMark/>
          </w:tcPr>
          <w:p w14:paraId="0D960C87" w14:textId="77777777" w:rsidR="007B5028" w:rsidRPr="00494249" w:rsidRDefault="000A4DA2"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hyperlink r:id="rId17" w:history="1">
              <w:r w:rsidR="007B5028" w:rsidRPr="00494249">
                <w:rPr>
                  <w:rStyle w:val="Hyperlink"/>
                  <w:rFonts w:eastAsia="Times New Roman" w:cs="Calibri"/>
                  <w:sz w:val="18"/>
                  <w:szCs w:val="18"/>
                </w:rPr>
                <w:t>amee.george@anu.edu.au</w:t>
              </w:r>
            </w:hyperlink>
          </w:p>
        </w:tc>
      </w:tr>
      <w:tr w:rsidR="007B5028" w:rsidRPr="00494249" w14:paraId="003BA14B" w14:textId="77777777" w:rsidTr="006F0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42583C7C" w14:textId="77777777" w:rsidR="007B5028" w:rsidRPr="00494249" w:rsidRDefault="000A4DA2" w:rsidP="006F01AB">
            <w:pPr>
              <w:spacing w:after="0"/>
              <w:rPr>
                <w:rFonts w:eastAsia="Times New Roman" w:cs="Calibri"/>
                <w:sz w:val="20"/>
              </w:rPr>
            </w:pPr>
            <w:hyperlink r:id="rId18" w:history="1">
              <w:r w:rsidR="007B5028" w:rsidRPr="00494249">
                <w:rPr>
                  <w:rStyle w:val="Hyperlink"/>
                  <w:rFonts w:eastAsia="Times New Roman" w:cs="Calibri"/>
                  <w:sz w:val="18"/>
                  <w:szCs w:val="18"/>
                </w:rPr>
                <w:t>Cell Screen SA (Flinders)</w:t>
              </w:r>
            </w:hyperlink>
          </w:p>
        </w:tc>
        <w:tc>
          <w:tcPr>
            <w:tcW w:w="2473" w:type="dxa"/>
            <w:noWrap/>
            <w:vAlign w:val="center"/>
            <w:hideMark/>
          </w:tcPr>
          <w:p w14:paraId="4E153497"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 xml:space="preserve">Amanda </w:t>
            </w:r>
            <w:proofErr w:type="spellStart"/>
            <w:r w:rsidRPr="00494249">
              <w:rPr>
                <w:rFonts w:eastAsia="Times New Roman" w:cs="Calibri"/>
                <w:sz w:val="20"/>
              </w:rPr>
              <w:t>Aloia</w:t>
            </w:r>
            <w:proofErr w:type="spellEnd"/>
          </w:p>
        </w:tc>
        <w:tc>
          <w:tcPr>
            <w:tcW w:w="3994" w:type="dxa"/>
            <w:noWrap/>
            <w:vAlign w:val="center"/>
            <w:hideMark/>
          </w:tcPr>
          <w:p w14:paraId="1E8F7301" w14:textId="77777777" w:rsidR="007B5028" w:rsidRPr="00494249" w:rsidRDefault="000A4DA2"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hyperlink r:id="rId19" w:history="1">
              <w:r w:rsidR="007B5028" w:rsidRPr="00494249">
                <w:rPr>
                  <w:rStyle w:val="Hyperlink"/>
                  <w:rFonts w:eastAsia="Times New Roman" w:cs="Calibri"/>
                  <w:sz w:val="18"/>
                  <w:szCs w:val="18"/>
                </w:rPr>
                <w:t>amanda.aloia@flinders.edu.au</w:t>
              </w:r>
            </w:hyperlink>
          </w:p>
        </w:tc>
      </w:tr>
      <w:tr w:rsidR="007B5028" w:rsidRPr="00494249" w14:paraId="213ADB4F" w14:textId="77777777" w:rsidTr="006F01AB">
        <w:trPr>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0AA76901" w14:textId="77777777" w:rsidR="007B5028" w:rsidRPr="00494249" w:rsidRDefault="000A4DA2" w:rsidP="006F01AB">
            <w:pPr>
              <w:spacing w:after="0"/>
              <w:rPr>
                <w:rFonts w:eastAsia="Times New Roman" w:cs="Calibri"/>
                <w:sz w:val="20"/>
              </w:rPr>
            </w:pPr>
            <w:hyperlink r:id="rId20" w:history="1">
              <w:r w:rsidR="007B5028" w:rsidRPr="00494249">
                <w:rPr>
                  <w:rStyle w:val="Hyperlink"/>
                  <w:rFonts w:eastAsia="Times New Roman" w:cs="Calibri"/>
                  <w:sz w:val="18"/>
                  <w:szCs w:val="18"/>
                </w:rPr>
                <w:t>Community for Open Antimicrobial Drug Discovery (UQ)</w:t>
              </w:r>
            </w:hyperlink>
          </w:p>
        </w:tc>
        <w:tc>
          <w:tcPr>
            <w:tcW w:w="2473" w:type="dxa"/>
            <w:noWrap/>
            <w:vAlign w:val="center"/>
            <w:hideMark/>
          </w:tcPr>
          <w:p w14:paraId="53740C07"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 xml:space="preserve">Johannes </w:t>
            </w:r>
            <w:proofErr w:type="spellStart"/>
            <w:r w:rsidRPr="00494249">
              <w:rPr>
                <w:rFonts w:eastAsia="Times New Roman" w:cs="Calibri"/>
                <w:sz w:val="20"/>
              </w:rPr>
              <w:t>Zuegg</w:t>
            </w:r>
            <w:proofErr w:type="spellEnd"/>
            <w:r w:rsidRPr="00494249">
              <w:rPr>
                <w:rFonts w:eastAsia="Times New Roman" w:cs="Calibri"/>
                <w:sz w:val="20"/>
              </w:rPr>
              <w:t xml:space="preserve"> </w:t>
            </w:r>
          </w:p>
          <w:p w14:paraId="25FE4765"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 xml:space="preserve">Mark </w:t>
            </w:r>
            <w:proofErr w:type="spellStart"/>
            <w:r w:rsidRPr="00494249">
              <w:rPr>
                <w:rFonts w:eastAsia="Times New Roman" w:cs="Calibri"/>
                <w:sz w:val="20"/>
              </w:rPr>
              <w:t>Blaskovich</w:t>
            </w:r>
            <w:proofErr w:type="spellEnd"/>
          </w:p>
        </w:tc>
        <w:tc>
          <w:tcPr>
            <w:tcW w:w="3994" w:type="dxa"/>
            <w:noWrap/>
            <w:vAlign w:val="center"/>
            <w:hideMark/>
          </w:tcPr>
          <w:p w14:paraId="2705B699" w14:textId="77777777" w:rsidR="007B5028" w:rsidRPr="00494249" w:rsidRDefault="000A4DA2"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hyperlink r:id="rId21" w:history="1">
              <w:r w:rsidR="007B5028" w:rsidRPr="00494249">
                <w:rPr>
                  <w:rStyle w:val="Hyperlink"/>
                  <w:rFonts w:eastAsia="Times New Roman" w:cs="Calibri"/>
                  <w:sz w:val="18"/>
                  <w:szCs w:val="18"/>
                </w:rPr>
                <w:t>j.zuegg@imb.uq.edu.au</w:t>
              </w:r>
            </w:hyperlink>
            <w:r w:rsidR="007B5028" w:rsidRPr="00494249">
              <w:rPr>
                <w:rFonts w:eastAsia="Times New Roman" w:cs="Calibri"/>
                <w:sz w:val="18"/>
                <w:szCs w:val="18"/>
              </w:rPr>
              <w:t xml:space="preserve">, </w:t>
            </w:r>
            <w:hyperlink r:id="rId22" w:history="1">
              <w:r w:rsidR="007B5028" w:rsidRPr="00494249">
                <w:rPr>
                  <w:rStyle w:val="Hyperlink"/>
                  <w:rFonts w:eastAsia="Times New Roman" w:cs="Calibri"/>
                  <w:sz w:val="18"/>
                  <w:szCs w:val="18"/>
                </w:rPr>
                <w:t>m.blaskovich@imb.uq.edu.au</w:t>
              </w:r>
            </w:hyperlink>
          </w:p>
        </w:tc>
      </w:tr>
      <w:tr w:rsidR="007B5028" w:rsidRPr="00494249" w14:paraId="78667D0D" w14:textId="77777777" w:rsidTr="006F0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69FC235D" w14:textId="77777777" w:rsidR="007B5028" w:rsidRPr="00494249" w:rsidRDefault="000A4DA2" w:rsidP="006F01AB">
            <w:pPr>
              <w:spacing w:after="0"/>
              <w:rPr>
                <w:rFonts w:eastAsia="Times New Roman" w:cs="Calibri"/>
                <w:sz w:val="20"/>
              </w:rPr>
            </w:pPr>
            <w:hyperlink r:id="rId23" w:history="1">
              <w:r w:rsidR="007B5028" w:rsidRPr="00494249">
                <w:rPr>
                  <w:rStyle w:val="Hyperlink"/>
                  <w:rFonts w:eastAsia="Times New Roman" w:cs="Calibri"/>
                  <w:sz w:val="18"/>
                  <w:szCs w:val="18"/>
                </w:rPr>
                <w:t>Griffith Discovery Biology (Griffith)</w:t>
              </w:r>
            </w:hyperlink>
          </w:p>
        </w:tc>
        <w:tc>
          <w:tcPr>
            <w:tcW w:w="2473" w:type="dxa"/>
            <w:noWrap/>
            <w:vAlign w:val="center"/>
            <w:hideMark/>
          </w:tcPr>
          <w:p w14:paraId="08E5936F"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Vicky Avery</w:t>
            </w:r>
          </w:p>
        </w:tc>
        <w:tc>
          <w:tcPr>
            <w:tcW w:w="3994" w:type="dxa"/>
            <w:noWrap/>
            <w:vAlign w:val="center"/>
            <w:hideMark/>
          </w:tcPr>
          <w:p w14:paraId="6A55CB55" w14:textId="77777777" w:rsidR="007B5028" w:rsidRPr="00494249" w:rsidRDefault="000A4DA2"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hyperlink r:id="rId24" w:history="1">
              <w:r w:rsidR="007B5028" w:rsidRPr="00494249">
                <w:rPr>
                  <w:rStyle w:val="Hyperlink"/>
                  <w:rFonts w:eastAsia="Times New Roman" w:cs="Calibri"/>
                  <w:sz w:val="18"/>
                  <w:szCs w:val="18"/>
                </w:rPr>
                <w:t>v.avery@griffith.edu.au</w:t>
              </w:r>
            </w:hyperlink>
          </w:p>
        </w:tc>
      </w:tr>
      <w:tr w:rsidR="007B5028" w:rsidRPr="00494249" w14:paraId="717D6887" w14:textId="77777777" w:rsidTr="006F01AB">
        <w:trPr>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0ED8619F" w14:textId="77777777" w:rsidR="007B5028" w:rsidRPr="00494249" w:rsidRDefault="000A4DA2" w:rsidP="006F01AB">
            <w:pPr>
              <w:spacing w:after="0"/>
              <w:rPr>
                <w:rFonts w:eastAsia="Times New Roman" w:cs="Calibri"/>
                <w:sz w:val="20"/>
              </w:rPr>
            </w:pPr>
            <w:hyperlink r:id="rId25" w:history="1">
              <w:r w:rsidR="007B5028" w:rsidRPr="00494249">
                <w:rPr>
                  <w:rStyle w:val="Hyperlink"/>
                  <w:rFonts w:eastAsia="Times New Roman" w:cs="Calibri"/>
                  <w:sz w:val="18"/>
                  <w:szCs w:val="18"/>
                </w:rPr>
                <w:t>GRIDD Mass Spectrometry Screening (Griffith)</w:t>
              </w:r>
            </w:hyperlink>
          </w:p>
        </w:tc>
        <w:tc>
          <w:tcPr>
            <w:tcW w:w="2473" w:type="dxa"/>
            <w:noWrap/>
            <w:vAlign w:val="center"/>
            <w:hideMark/>
          </w:tcPr>
          <w:p w14:paraId="1E25DB05"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Wendy Loa</w:t>
            </w:r>
            <w:r w:rsidRPr="00494249">
              <w:rPr>
                <w:rFonts w:eastAsia="Times New Roman" w:cs="Calibri"/>
                <w:sz w:val="20"/>
              </w:rPr>
              <w:br/>
              <w:t>Raya Monteiro</w:t>
            </w:r>
          </w:p>
        </w:tc>
        <w:tc>
          <w:tcPr>
            <w:tcW w:w="3994" w:type="dxa"/>
            <w:noWrap/>
            <w:vAlign w:val="center"/>
            <w:hideMark/>
          </w:tcPr>
          <w:p w14:paraId="2D500285" w14:textId="77777777" w:rsidR="007B5028" w:rsidRPr="00494249" w:rsidRDefault="000A4DA2"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hyperlink r:id="rId26" w:history="1">
              <w:r w:rsidR="007B5028" w:rsidRPr="00494249">
                <w:rPr>
                  <w:rStyle w:val="Hyperlink"/>
                  <w:rFonts w:cs="Calibri"/>
                  <w:sz w:val="18"/>
                  <w:szCs w:val="18"/>
                </w:rPr>
                <w:t>w.loa@griffith.edu.au, r.monteiro@griffith.edu.au</w:t>
              </w:r>
            </w:hyperlink>
          </w:p>
        </w:tc>
      </w:tr>
      <w:tr w:rsidR="007B5028" w:rsidRPr="00494249" w14:paraId="4F30D988" w14:textId="77777777" w:rsidTr="006F0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731FF66E" w14:textId="77777777" w:rsidR="007B5028" w:rsidRPr="00494249" w:rsidRDefault="000A4DA2" w:rsidP="006F01AB">
            <w:pPr>
              <w:spacing w:after="0"/>
              <w:rPr>
                <w:rFonts w:eastAsia="Times New Roman" w:cs="Calibri"/>
                <w:sz w:val="20"/>
              </w:rPr>
            </w:pPr>
            <w:hyperlink r:id="rId27" w:history="1">
              <w:r w:rsidR="007B5028" w:rsidRPr="00494249">
                <w:rPr>
                  <w:rStyle w:val="Hyperlink"/>
                  <w:rFonts w:eastAsia="Times New Roman" w:cs="Calibri"/>
                  <w:sz w:val="18"/>
                  <w:szCs w:val="18"/>
                </w:rPr>
                <w:t>Monash Fragment Platform (Monash)</w:t>
              </w:r>
            </w:hyperlink>
          </w:p>
        </w:tc>
        <w:tc>
          <w:tcPr>
            <w:tcW w:w="2473" w:type="dxa"/>
            <w:noWrap/>
            <w:vAlign w:val="center"/>
            <w:hideMark/>
          </w:tcPr>
          <w:p w14:paraId="2C3DCFAD"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 xml:space="preserve">Martin Scanlon </w:t>
            </w:r>
          </w:p>
          <w:p w14:paraId="5A54E11C"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 xml:space="preserve">Bradley </w:t>
            </w:r>
            <w:proofErr w:type="spellStart"/>
            <w:r w:rsidRPr="00494249">
              <w:rPr>
                <w:rFonts w:eastAsia="Times New Roman" w:cs="Calibri"/>
                <w:sz w:val="20"/>
              </w:rPr>
              <w:t>Doak</w:t>
            </w:r>
            <w:proofErr w:type="spellEnd"/>
          </w:p>
        </w:tc>
        <w:tc>
          <w:tcPr>
            <w:tcW w:w="3994" w:type="dxa"/>
            <w:noWrap/>
            <w:vAlign w:val="center"/>
            <w:hideMark/>
          </w:tcPr>
          <w:p w14:paraId="054CD108" w14:textId="77777777" w:rsidR="007B5028" w:rsidRPr="00494249" w:rsidRDefault="000A4DA2" w:rsidP="006F01AB">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hyperlink r:id="rId28" w:history="1">
              <w:r w:rsidR="007B5028" w:rsidRPr="00494249">
                <w:rPr>
                  <w:rStyle w:val="Hyperlink"/>
                  <w:rFonts w:eastAsia="Times New Roman" w:cs="Calibri"/>
                  <w:sz w:val="18"/>
                  <w:szCs w:val="18"/>
                </w:rPr>
                <w:t>martin.scanlon@monash.edu</w:t>
              </w:r>
            </w:hyperlink>
          </w:p>
          <w:p w14:paraId="6EFBDBEC" w14:textId="77777777" w:rsidR="007B5028" w:rsidRPr="00494249" w:rsidRDefault="000A4DA2"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hyperlink r:id="rId29" w:history="1">
              <w:r w:rsidR="007B5028" w:rsidRPr="00494249">
                <w:rPr>
                  <w:rStyle w:val="Hyperlink"/>
                  <w:rFonts w:eastAsia="Times New Roman" w:cs="Calibri"/>
                  <w:sz w:val="18"/>
                  <w:szCs w:val="18"/>
                </w:rPr>
                <w:t>bradley.doak@monash.edu</w:t>
              </w:r>
            </w:hyperlink>
          </w:p>
        </w:tc>
      </w:tr>
      <w:tr w:rsidR="007B5028" w:rsidRPr="00494249" w14:paraId="5751DE6C" w14:textId="77777777" w:rsidTr="006F01AB">
        <w:trPr>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hideMark/>
          </w:tcPr>
          <w:p w14:paraId="2016065B" w14:textId="77777777" w:rsidR="007B5028" w:rsidRPr="00494249" w:rsidRDefault="000A4DA2" w:rsidP="006F01AB">
            <w:pPr>
              <w:spacing w:after="0"/>
              <w:rPr>
                <w:rFonts w:eastAsia="Times New Roman" w:cs="Calibri"/>
                <w:sz w:val="20"/>
              </w:rPr>
            </w:pPr>
            <w:hyperlink r:id="rId30" w:history="1">
              <w:r w:rsidR="007B5028" w:rsidRPr="00494249">
                <w:rPr>
                  <w:rStyle w:val="Hyperlink"/>
                  <w:rFonts w:eastAsia="Times New Roman" w:cs="Calibri"/>
                  <w:sz w:val="18"/>
                  <w:szCs w:val="18"/>
                </w:rPr>
                <w:t>National Drug Discovery Centre</w:t>
              </w:r>
              <w:r w:rsidR="007B5028" w:rsidRPr="00494249">
                <w:rPr>
                  <w:rStyle w:val="Hyperlink"/>
                  <w:rFonts w:asciiTheme="majorHAnsi" w:hAnsiTheme="majorHAnsi"/>
                  <w:sz w:val="18"/>
                  <w:szCs w:val="18"/>
                </w:rPr>
                <w:t xml:space="preserve"> * (WEHI)</w:t>
              </w:r>
            </w:hyperlink>
          </w:p>
        </w:tc>
        <w:tc>
          <w:tcPr>
            <w:tcW w:w="2473" w:type="dxa"/>
            <w:noWrap/>
            <w:vAlign w:val="center"/>
            <w:hideMark/>
          </w:tcPr>
          <w:p w14:paraId="07FEA3A2" w14:textId="77777777" w:rsidR="007B5028" w:rsidRPr="00494249" w:rsidRDefault="007B5028" w:rsidP="006F01AB">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Jeff Mitchell</w:t>
            </w:r>
          </w:p>
          <w:p w14:paraId="4ED837C5"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Times New Roman" w:cs="Calibri"/>
                <w:sz w:val="20"/>
              </w:rPr>
              <w:t>Kym Lowes</w:t>
            </w:r>
          </w:p>
        </w:tc>
        <w:tc>
          <w:tcPr>
            <w:tcW w:w="3994" w:type="dxa"/>
            <w:noWrap/>
            <w:vAlign w:val="center"/>
            <w:hideMark/>
          </w:tcPr>
          <w:p w14:paraId="57E06A10" w14:textId="77777777" w:rsidR="007B5028" w:rsidRPr="00494249" w:rsidRDefault="000A4DA2"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hyperlink r:id="rId31" w:history="1">
              <w:r w:rsidR="007B5028" w:rsidRPr="00494249">
                <w:rPr>
                  <w:rStyle w:val="Hyperlink"/>
                  <w:rFonts w:eastAsia="Times New Roman" w:cs="Calibri"/>
                  <w:sz w:val="18"/>
                  <w:szCs w:val="18"/>
                </w:rPr>
                <w:t>mitchell.j@wehi.edu.au</w:t>
              </w:r>
            </w:hyperlink>
            <w:r w:rsidR="007B5028" w:rsidRPr="00494249">
              <w:rPr>
                <w:rFonts w:eastAsia="Times New Roman" w:cs="Calibri"/>
                <w:sz w:val="18"/>
                <w:szCs w:val="18"/>
              </w:rPr>
              <w:br/>
            </w:r>
            <w:hyperlink r:id="rId32" w:history="1">
              <w:r w:rsidR="007B5028" w:rsidRPr="00494249">
                <w:rPr>
                  <w:rStyle w:val="Hyperlink"/>
                  <w:rFonts w:eastAsia="Times New Roman" w:cs="Calibri"/>
                  <w:sz w:val="18"/>
                  <w:szCs w:val="18"/>
                </w:rPr>
                <w:t>lowes@wehi.edu.au</w:t>
              </w:r>
            </w:hyperlink>
          </w:p>
        </w:tc>
      </w:tr>
      <w:tr w:rsidR="007B5028" w:rsidRPr="00494249" w14:paraId="70A3869A" w14:textId="77777777" w:rsidTr="006F01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tcPr>
          <w:p w14:paraId="7ACEC3AD" w14:textId="77777777" w:rsidR="007B5028" w:rsidRPr="00494249" w:rsidRDefault="000A4DA2" w:rsidP="006F01AB">
            <w:pPr>
              <w:spacing w:after="0"/>
              <w:rPr>
                <w:rFonts w:eastAsia="Times New Roman" w:cs="Calibri"/>
                <w:sz w:val="20"/>
              </w:rPr>
            </w:pPr>
            <w:hyperlink r:id="rId33" w:history="1">
              <w:r w:rsidR="007B5028" w:rsidRPr="00494249">
                <w:rPr>
                  <w:rStyle w:val="Hyperlink"/>
                  <w:rFonts w:eastAsia="Times New Roman" w:cs="Calibri"/>
                  <w:sz w:val="18"/>
                  <w:szCs w:val="18"/>
                </w:rPr>
                <w:t>Victorian Centre for Functional Genomics (Peter Mac)</w:t>
              </w:r>
            </w:hyperlink>
          </w:p>
        </w:tc>
        <w:tc>
          <w:tcPr>
            <w:tcW w:w="2473" w:type="dxa"/>
            <w:noWrap/>
            <w:vAlign w:val="center"/>
          </w:tcPr>
          <w:p w14:paraId="6935BA02" w14:textId="77777777" w:rsidR="007B5028" w:rsidRPr="00494249" w:rsidRDefault="007B5028"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94249">
              <w:rPr>
                <w:rFonts w:eastAsia="Times New Roman" w:cs="Calibri"/>
                <w:sz w:val="20"/>
              </w:rPr>
              <w:t>Kaylene Simpson</w:t>
            </w:r>
          </w:p>
        </w:tc>
        <w:tc>
          <w:tcPr>
            <w:tcW w:w="3994" w:type="dxa"/>
            <w:noWrap/>
            <w:vAlign w:val="center"/>
          </w:tcPr>
          <w:p w14:paraId="4D2DC9CC" w14:textId="77777777" w:rsidR="007B5028" w:rsidRPr="00494249" w:rsidRDefault="000A4DA2" w:rsidP="006F01A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rPr>
            </w:pPr>
            <w:hyperlink r:id="rId34" w:history="1">
              <w:r w:rsidR="007B5028" w:rsidRPr="00494249">
                <w:rPr>
                  <w:rStyle w:val="Hyperlink"/>
                  <w:rFonts w:eastAsia="Times New Roman" w:cs="Calibri"/>
                  <w:sz w:val="18"/>
                  <w:szCs w:val="18"/>
                </w:rPr>
                <w:t>kaylene.simpson@petermac.org</w:t>
              </w:r>
            </w:hyperlink>
          </w:p>
        </w:tc>
      </w:tr>
      <w:tr w:rsidR="007B5028" w:rsidRPr="00494249" w14:paraId="21EED5C4" w14:textId="77777777" w:rsidTr="006F01AB">
        <w:trPr>
          <w:trHeight w:val="255"/>
        </w:trPr>
        <w:tc>
          <w:tcPr>
            <w:cnfStyle w:val="001000000000" w:firstRow="0" w:lastRow="0" w:firstColumn="1" w:lastColumn="0" w:oddVBand="0" w:evenVBand="0" w:oddHBand="0" w:evenHBand="0" w:firstRowFirstColumn="0" w:firstRowLastColumn="0" w:lastRowFirstColumn="0" w:lastRowLastColumn="0"/>
            <w:tcW w:w="2848" w:type="dxa"/>
            <w:noWrap/>
            <w:vAlign w:val="center"/>
          </w:tcPr>
          <w:p w14:paraId="4C6FA693" w14:textId="77777777" w:rsidR="007B5028" w:rsidRPr="00494249" w:rsidRDefault="000A4DA2" w:rsidP="006F01AB">
            <w:pPr>
              <w:spacing w:after="0"/>
              <w:rPr>
                <w:rFonts w:eastAsia="Times New Roman" w:cs="Calibri"/>
                <w:sz w:val="20"/>
              </w:rPr>
            </w:pPr>
            <w:hyperlink r:id="rId35" w:history="1">
              <w:r w:rsidR="007B5028" w:rsidRPr="00494249">
                <w:rPr>
                  <w:rStyle w:val="Hyperlink"/>
                  <w:rFonts w:eastAsia="Calibri" w:cs="Calibri"/>
                  <w:sz w:val="18"/>
                  <w:szCs w:val="18"/>
                </w:rPr>
                <w:t>Victor Chang Cardiac Research Institute Innovation Centre</w:t>
              </w:r>
            </w:hyperlink>
          </w:p>
        </w:tc>
        <w:tc>
          <w:tcPr>
            <w:tcW w:w="2473" w:type="dxa"/>
            <w:noWrap/>
            <w:vAlign w:val="center"/>
          </w:tcPr>
          <w:p w14:paraId="72562D24" w14:textId="77777777" w:rsidR="007B5028" w:rsidRPr="00494249" w:rsidRDefault="007B5028"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94249">
              <w:rPr>
                <w:rFonts w:eastAsia="Calibri" w:cs="Calibri"/>
                <w:sz w:val="20"/>
              </w:rPr>
              <w:t>Jeffrey McArthur</w:t>
            </w:r>
            <w:r w:rsidRPr="00494249">
              <w:rPr>
                <w:rFonts w:eastAsia="Calibri" w:cs="Calibri"/>
                <w:sz w:val="20"/>
              </w:rPr>
              <w:br/>
              <w:t>Johanna Barclay</w:t>
            </w:r>
          </w:p>
        </w:tc>
        <w:tc>
          <w:tcPr>
            <w:tcW w:w="3994" w:type="dxa"/>
            <w:noWrap/>
            <w:vAlign w:val="center"/>
          </w:tcPr>
          <w:p w14:paraId="6F0EB2D0" w14:textId="77777777" w:rsidR="007B5028" w:rsidRPr="00494249" w:rsidRDefault="000A4DA2" w:rsidP="006F01A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rPr>
            </w:pPr>
            <w:hyperlink r:id="rId36" w:history="1">
              <w:r w:rsidR="007B5028" w:rsidRPr="00494249">
                <w:rPr>
                  <w:rStyle w:val="Hyperlink"/>
                  <w:rFonts w:eastAsia="Calibri" w:cs="Calibri"/>
                  <w:sz w:val="18"/>
                  <w:szCs w:val="18"/>
                </w:rPr>
                <w:t>j.mcarthur@victorchang.edu.au</w:t>
              </w:r>
            </w:hyperlink>
            <w:r w:rsidR="007B5028" w:rsidRPr="00494249">
              <w:rPr>
                <w:rFonts w:eastAsia="Calibri" w:cs="Calibri"/>
                <w:sz w:val="18"/>
                <w:szCs w:val="18"/>
              </w:rPr>
              <w:br/>
            </w:r>
            <w:hyperlink r:id="rId37">
              <w:r w:rsidR="007B5028" w:rsidRPr="00494249">
                <w:rPr>
                  <w:rStyle w:val="Hyperlink"/>
                  <w:rFonts w:eastAsia="Calibri" w:cs="Calibri"/>
                  <w:sz w:val="18"/>
                  <w:szCs w:val="18"/>
                </w:rPr>
                <w:t>j.barclay@victorchang.edu.au</w:t>
              </w:r>
            </w:hyperlink>
          </w:p>
        </w:tc>
      </w:tr>
    </w:tbl>
    <w:p w14:paraId="15308016" w14:textId="77777777" w:rsidR="00FD0B37" w:rsidRDefault="00FD0B37" w:rsidP="00F05D16">
      <w:pPr>
        <w:spacing w:after="0"/>
        <w:rPr>
          <w:rFonts w:cs="Calibri"/>
          <w:color w:val="000000" w:themeColor="text1"/>
          <w:lang w:val="en-GB"/>
        </w:rPr>
      </w:pPr>
    </w:p>
    <w:p w14:paraId="1D714C9D" w14:textId="50322BFF" w:rsidR="00F05D16" w:rsidRPr="00FD0B37" w:rsidRDefault="00F05D16" w:rsidP="00F05D16">
      <w:pPr>
        <w:spacing w:after="0"/>
        <w:rPr>
          <w:rFonts w:cs="Calibri"/>
          <w:color w:val="000000" w:themeColor="text1"/>
          <w:sz w:val="20"/>
          <w:szCs w:val="16"/>
          <w:lang w:val="en-GB"/>
        </w:rPr>
      </w:pPr>
      <w:r w:rsidRPr="00FD0B37">
        <w:rPr>
          <w:rFonts w:cs="Calibri"/>
          <w:color w:val="000000" w:themeColor="text1"/>
          <w:sz w:val="20"/>
          <w:szCs w:val="16"/>
          <w:lang w:val="en-GB"/>
        </w:rPr>
        <w:t>*</w:t>
      </w:r>
      <w:r w:rsidRPr="00FD0B37">
        <w:rPr>
          <w:rFonts w:cs="Calibri"/>
          <w:b/>
          <w:bCs/>
          <w:color w:val="000000" w:themeColor="text1"/>
          <w:sz w:val="20"/>
          <w:szCs w:val="16"/>
          <w:lang w:val="en-GB"/>
        </w:rPr>
        <w:t>National Drug Discovery Centre</w:t>
      </w:r>
      <w:r w:rsidRPr="00FD0B37">
        <w:rPr>
          <w:rFonts w:cs="Calibri"/>
          <w:color w:val="000000" w:themeColor="text1"/>
          <w:sz w:val="20"/>
          <w:szCs w:val="16"/>
          <w:lang w:val="en-GB"/>
        </w:rPr>
        <w:t xml:space="preserve">: Applications to the Pipeline Accelerator scheme may seek to access capacity and capability at the National Drug Discovery Centre, if the project is outside the </w:t>
      </w:r>
      <w:hyperlink r:id="rId38" w:history="1">
        <w:r w:rsidRPr="00FD0B37">
          <w:rPr>
            <w:rStyle w:val="Hyperlink"/>
            <w:rFonts w:cs="Calibri"/>
            <w:sz w:val="20"/>
            <w:szCs w:val="16"/>
            <w:lang w:val="en-GB"/>
          </w:rPr>
          <w:t>ND</w:t>
        </w:r>
        <w:r w:rsidR="004A3659">
          <w:rPr>
            <w:rStyle w:val="Hyperlink"/>
            <w:rFonts w:cs="Calibri"/>
            <w:sz w:val="20"/>
            <w:szCs w:val="16"/>
            <w:lang w:val="en-GB"/>
          </w:rPr>
          <w:t>D</w:t>
        </w:r>
        <w:r w:rsidRPr="00FD0B37">
          <w:rPr>
            <w:rStyle w:val="Hyperlink"/>
            <w:rFonts w:cs="Calibri"/>
            <w:sz w:val="20"/>
            <w:szCs w:val="16"/>
            <w:lang w:val="en-GB"/>
          </w:rPr>
          <w:t>C’s ongoing process to identify and support large scale high throughput screens</w:t>
        </w:r>
      </w:hyperlink>
      <w:r w:rsidRPr="00FD0B37">
        <w:rPr>
          <w:rFonts w:cs="Calibri"/>
          <w:color w:val="000000" w:themeColor="text1"/>
          <w:sz w:val="20"/>
          <w:szCs w:val="16"/>
          <w:lang w:val="en-GB"/>
        </w:rPr>
        <w:t>. Pipeline Accelerator applications may describe a subsequent application to ND</w:t>
      </w:r>
      <w:r w:rsidR="000A4DA2">
        <w:rPr>
          <w:rFonts w:cs="Calibri"/>
          <w:color w:val="000000" w:themeColor="text1"/>
          <w:sz w:val="20"/>
          <w:szCs w:val="16"/>
          <w:lang w:val="en-GB"/>
        </w:rPr>
        <w:t>D</w:t>
      </w:r>
      <w:r w:rsidRPr="00FD0B37">
        <w:rPr>
          <w:rFonts w:cs="Calibri"/>
          <w:color w:val="000000" w:themeColor="text1"/>
          <w:sz w:val="20"/>
          <w:szCs w:val="16"/>
          <w:lang w:val="en-GB"/>
        </w:rPr>
        <w:t>C as part of a development plan, and external projects emerging from ND</w:t>
      </w:r>
      <w:r w:rsidR="004A3659">
        <w:rPr>
          <w:rFonts w:cs="Calibri"/>
          <w:color w:val="000000" w:themeColor="text1"/>
          <w:sz w:val="20"/>
          <w:szCs w:val="16"/>
          <w:lang w:val="en-GB"/>
        </w:rPr>
        <w:t>D</w:t>
      </w:r>
      <w:r w:rsidRPr="00FD0B37">
        <w:rPr>
          <w:rFonts w:cs="Calibri"/>
          <w:color w:val="000000" w:themeColor="text1"/>
          <w:sz w:val="20"/>
          <w:szCs w:val="16"/>
          <w:lang w:val="en-GB"/>
        </w:rPr>
        <w:t>C may apply to the Pipeline Accelerator scheme for support for hit validation</w:t>
      </w:r>
    </w:p>
    <w:p w14:paraId="628B91F3" w14:textId="77777777" w:rsidR="007B5028" w:rsidRPr="00494249" w:rsidRDefault="007B5028" w:rsidP="007B5028">
      <w:pPr>
        <w:spacing w:after="0"/>
        <w:rPr>
          <w:rFonts w:cs="Calibri"/>
          <w:color w:val="000000" w:themeColor="text1"/>
          <w:lang w:val="en-GB"/>
        </w:rPr>
      </w:pPr>
    </w:p>
    <w:p w14:paraId="1F6AF7A3" w14:textId="06C8FB6D" w:rsidR="007B5028" w:rsidRPr="00494249" w:rsidRDefault="007B5028" w:rsidP="007B5028">
      <w:pPr>
        <w:spacing w:after="0"/>
        <w:rPr>
          <w:rFonts w:eastAsia="Calibri" w:cs="Calibri"/>
          <w:szCs w:val="22"/>
          <w:lang w:val="en-GB"/>
        </w:rPr>
      </w:pPr>
      <w:r w:rsidRPr="00494249">
        <w:rPr>
          <w:rFonts w:cs="Calibri"/>
          <w:color w:val="000000" w:themeColor="text1"/>
          <w:lang w:val="en-GB"/>
        </w:rPr>
        <w:t xml:space="preserve">TIA also offers to arrange access to a new service that provides guidance on compound selection and triaging for further development via medicinal chemistry. This service is offered by </w:t>
      </w:r>
      <w:r w:rsidR="00D43681">
        <w:rPr>
          <w:rFonts w:cs="Calibri"/>
          <w:color w:val="000000" w:themeColor="text1"/>
          <w:lang w:val="en-GB"/>
        </w:rPr>
        <w:t xml:space="preserve">the </w:t>
      </w:r>
      <w:hyperlink r:id="rId39" w:history="1">
        <w:r w:rsidR="00D43681" w:rsidRPr="00192AC2">
          <w:rPr>
            <w:rStyle w:val="Hyperlink"/>
            <w:rFonts w:cs="Calibri"/>
            <w:lang w:val="en-GB"/>
          </w:rPr>
          <w:t xml:space="preserve">Australian Translational Medicinal Chemistry </w:t>
        </w:r>
        <w:r w:rsidR="0095296C" w:rsidRPr="00192AC2">
          <w:rPr>
            <w:rStyle w:val="Hyperlink"/>
            <w:rFonts w:cs="Calibri"/>
            <w:lang w:val="en-GB"/>
          </w:rPr>
          <w:t>Facility (</w:t>
        </w:r>
        <w:r w:rsidR="00D43681" w:rsidRPr="00192AC2">
          <w:rPr>
            <w:rStyle w:val="Hyperlink"/>
            <w:rFonts w:cs="Calibri"/>
            <w:lang w:val="en-GB"/>
          </w:rPr>
          <w:t>ATMCF)</w:t>
        </w:r>
      </w:hyperlink>
      <w:r w:rsidRPr="00494249">
        <w:rPr>
          <w:rFonts w:cs="Calibri"/>
          <w:color w:val="000000" w:themeColor="text1"/>
          <w:lang w:val="en-GB"/>
        </w:rPr>
        <w:t xml:space="preserve"> and is known as APHID (Action Plan for Hit Identification). The APHID service will perform </w:t>
      </w:r>
      <w:r w:rsidRPr="00494249">
        <w:rPr>
          <w:rFonts w:eastAsia="Calibri" w:cs="Calibri"/>
          <w:szCs w:val="22"/>
          <w:lang w:val="en-GB"/>
        </w:rPr>
        <w:t xml:space="preserve">relevant electronic structure-activity relationship (e-SAR) studies and assess the feasibility of sourcing the follow-up sets of molecules/compounds of interest, including library searches for additional potential compounds of interest. </w:t>
      </w:r>
      <w:hyperlink r:id="rId40" w:history="1">
        <w:r w:rsidRPr="00494249">
          <w:rPr>
            <w:rStyle w:val="Hyperlink"/>
            <w:rFonts w:eastAsia="Calibri" w:cs="Calibri"/>
            <w:szCs w:val="22"/>
            <w:lang w:val="en-GB"/>
          </w:rPr>
          <w:t>Click here for more information on APHID</w:t>
        </w:r>
      </w:hyperlink>
      <w:r w:rsidRPr="00494249">
        <w:rPr>
          <w:rFonts w:eastAsia="Calibri" w:cs="Calibri"/>
          <w:szCs w:val="22"/>
          <w:lang w:val="en-GB"/>
        </w:rPr>
        <w:t>. This service will be offered to relevant voucher holders at no additional cost.</w:t>
      </w:r>
    </w:p>
    <w:p w14:paraId="424CA2D4" w14:textId="77777777" w:rsidR="007B5028" w:rsidRPr="00494249" w:rsidRDefault="007B5028" w:rsidP="007B5028">
      <w:pPr>
        <w:pStyle w:val="Heading2"/>
        <w:rPr>
          <w:lang w:val="en-GB"/>
        </w:rPr>
      </w:pPr>
      <w:r w:rsidRPr="00494249">
        <w:rPr>
          <w:lang w:val="en-GB"/>
        </w:rPr>
        <w:lastRenderedPageBreak/>
        <w:t>Eligibility of Projects</w:t>
      </w:r>
    </w:p>
    <w:p w14:paraId="110F6B4C" w14:textId="77777777" w:rsidR="007B5028" w:rsidRPr="00494249" w:rsidRDefault="007B5028" w:rsidP="007B5028">
      <w:pPr>
        <w:rPr>
          <w:lang w:val="en-GB"/>
        </w:rPr>
      </w:pPr>
      <w:r w:rsidRPr="00494249">
        <w:rPr>
          <w:lang w:val="en-GB"/>
        </w:rPr>
        <w:t>Projects considered eligible for support must align with at least one of the following activities:</w:t>
      </w:r>
    </w:p>
    <w:p w14:paraId="1793F2A4" w14:textId="473901CB" w:rsidR="007B5028" w:rsidRPr="00494249" w:rsidRDefault="007B5028" w:rsidP="007B5028">
      <w:pPr>
        <w:pStyle w:val="ListParagraph"/>
        <w:numPr>
          <w:ilvl w:val="0"/>
          <w:numId w:val="25"/>
        </w:numPr>
        <w:rPr>
          <w:lang w:val="en-GB"/>
        </w:rPr>
      </w:pPr>
      <w:r w:rsidRPr="00494249">
        <w:rPr>
          <w:lang w:val="en-GB"/>
        </w:rPr>
        <w:t>Development of a novel assay into a format suitable for compound library screening</w:t>
      </w:r>
    </w:p>
    <w:p w14:paraId="21D0419D" w14:textId="0508DD9A" w:rsidR="007B5028" w:rsidRPr="00494249" w:rsidRDefault="007B5028" w:rsidP="007B5028">
      <w:pPr>
        <w:pStyle w:val="ListParagraph"/>
        <w:numPr>
          <w:ilvl w:val="0"/>
          <w:numId w:val="25"/>
        </w:numPr>
        <w:rPr>
          <w:lang w:val="en-GB"/>
        </w:rPr>
      </w:pPr>
      <w:r w:rsidRPr="00494249">
        <w:rPr>
          <w:lang w:val="en-GB"/>
        </w:rPr>
        <w:t>Screening of compound libraries against a target with a suitable assay</w:t>
      </w:r>
    </w:p>
    <w:p w14:paraId="4D71FB2D" w14:textId="617CB5BA" w:rsidR="007B5028" w:rsidRPr="00494249" w:rsidRDefault="007B5028" w:rsidP="007B5028">
      <w:pPr>
        <w:pStyle w:val="ListParagraph"/>
        <w:numPr>
          <w:ilvl w:val="0"/>
          <w:numId w:val="25"/>
        </w:numPr>
        <w:rPr>
          <w:lang w:val="en-GB"/>
        </w:rPr>
      </w:pPr>
      <w:r w:rsidRPr="00494249">
        <w:rPr>
          <w:lang w:val="en-GB"/>
        </w:rPr>
        <w:t>Post-screening hit validation prior to entry into medicinal chemistry</w:t>
      </w:r>
    </w:p>
    <w:p w14:paraId="26B7C4BE" w14:textId="6F95E93A" w:rsidR="00FD0B37" w:rsidRPr="00344A78" w:rsidRDefault="00DE5CFA" w:rsidP="00344A78">
      <w:pPr>
        <w:rPr>
          <w:b/>
          <w:bCs/>
          <w:lang w:val="en-GB"/>
        </w:rPr>
      </w:pPr>
      <w:r>
        <w:rPr>
          <w:b/>
          <w:bCs/>
          <w:lang w:val="en-GB"/>
        </w:rPr>
        <w:t>PLEASE NOTE</w:t>
      </w:r>
      <w:r w:rsidR="00FD0B37" w:rsidRPr="00344A78">
        <w:rPr>
          <w:b/>
          <w:bCs/>
          <w:lang w:val="en-GB"/>
        </w:rPr>
        <w:t xml:space="preserve">: This round of the scheme will </w:t>
      </w:r>
      <w:r w:rsidR="00737FED">
        <w:rPr>
          <w:b/>
          <w:bCs/>
          <w:lang w:val="en-GB"/>
        </w:rPr>
        <w:t>have a focus on</w:t>
      </w:r>
      <w:r w:rsidR="00FD0B37" w:rsidRPr="00344A78">
        <w:rPr>
          <w:b/>
          <w:bCs/>
          <w:lang w:val="en-GB"/>
        </w:rPr>
        <w:t xml:space="preserve"> </w:t>
      </w:r>
      <w:r w:rsidR="00344A78" w:rsidRPr="003A64B3">
        <w:rPr>
          <w:b/>
          <w:bCs/>
          <w:u w:val="single"/>
          <w:lang w:val="en-GB"/>
        </w:rPr>
        <w:t>assay development</w:t>
      </w:r>
      <w:r w:rsidR="00344A78" w:rsidRPr="00344A78">
        <w:rPr>
          <w:b/>
          <w:bCs/>
          <w:lang w:val="en-GB"/>
        </w:rPr>
        <w:t xml:space="preserve"> projects</w:t>
      </w:r>
    </w:p>
    <w:p w14:paraId="28BDD0B4" w14:textId="7106A368" w:rsidR="007B5028" w:rsidRPr="00494249" w:rsidRDefault="007B5028" w:rsidP="007B5028">
      <w:pPr>
        <w:rPr>
          <w:lang w:val="en-GB"/>
        </w:rPr>
      </w:pPr>
      <w:r w:rsidRPr="00494249">
        <w:rPr>
          <w:lang w:val="en-GB"/>
        </w:rPr>
        <w:t>To achieve support, the Project applications must:</w:t>
      </w:r>
    </w:p>
    <w:p w14:paraId="5D1BDBF9" w14:textId="77777777" w:rsidR="00E669BF" w:rsidRPr="00895432" w:rsidRDefault="00E669BF" w:rsidP="00E669BF">
      <w:pPr>
        <w:pStyle w:val="ListParagraph"/>
        <w:numPr>
          <w:ilvl w:val="0"/>
          <w:numId w:val="1"/>
        </w:numPr>
        <w:rPr>
          <w:rFonts w:asciiTheme="minorHAnsi" w:eastAsiaTheme="minorEastAsia" w:hAnsiTheme="minorHAnsi" w:cstheme="minorBidi"/>
          <w:szCs w:val="22"/>
          <w:lang w:val="en-GB"/>
        </w:rPr>
      </w:pPr>
      <w:r>
        <w:rPr>
          <w:rFonts w:eastAsia="Calibri" w:cs="Calibri"/>
          <w:szCs w:val="22"/>
          <w:lang w:val="en-GB"/>
        </w:rPr>
        <w:t>Indicate which core facility will be accessed.</w:t>
      </w:r>
    </w:p>
    <w:p w14:paraId="687C2CCE" w14:textId="77777777" w:rsidR="00543E74"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Briefly articulate the current state of research relating to the chosen therapeutic modality in terms of biochemical characterisation, mechanism of action, target validation</w:t>
      </w:r>
      <w:r w:rsidRPr="210B7E85">
        <w:rPr>
          <w:rFonts w:eastAsia="Calibri" w:cs="Calibri"/>
          <w:i/>
          <w:iCs/>
          <w:szCs w:val="22"/>
          <w:lang w:val="en-GB"/>
        </w:rPr>
        <w:t>,</w:t>
      </w:r>
      <w:r w:rsidRPr="210B7E85">
        <w:rPr>
          <w:rFonts w:eastAsia="Calibri" w:cs="Calibri"/>
          <w:szCs w:val="22"/>
          <w:lang w:val="en-GB"/>
        </w:rPr>
        <w:t xml:space="preserve"> etc.</w:t>
      </w:r>
    </w:p>
    <w:p w14:paraId="7ECFBB7D" w14:textId="77777777" w:rsidR="00543E74"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Be regarded as scientifically meritorious by an assessment committee</w:t>
      </w:r>
      <w:r>
        <w:rPr>
          <w:rFonts w:eastAsia="Calibri" w:cs="Calibri"/>
          <w:szCs w:val="22"/>
          <w:lang w:val="en-GB"/>
        </w:rPr>
        <w:t xml:space="preserve"> with external members</w:t>
      </w:r>
      <w:r w:rsidRPr="210B7E85">
        <w:rPr>
          <w:rFonts w:eastAsia="Calibri" w:cs="Calibri"/>
          <w:szCs w:val="22"/>
          <w:lang w:val="en-GB"/>
        </w:rPr>
        <w:t xml:space="preserve"> appointed by TIA.</w:t>
      </w:r>
    </w:p>
    <w:p w14:paraId="0258B6C1" w14:textId="77777777" w:rsidR="00543E74"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Demonstrate a plan for the next steps in therapeutic development as they relate to the project, in the context of the project’s potential to lead to new therapeutic product or product/service for an existing or new market (including via out-licencing).</w:t>
      </w:r>
    </w:p>
    <w:p w14:paraId="2067C5D5" w14:textId="77777777" w:rsidR="00543E74"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Have obtained appropriate service quotes from the selected Provider</w:t>
      </w:r>
    </w:p>
    <w:p w14:paraId="481D4D4E" w14:textId="77777777" w:rsidR="00543E74"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Define an indicative desired timescale for the project</w:t>
      </w:r>
    </w:p>
    <w:p w14:paraId="272B7A69" w14:textId="77777777" w:rsidR="00543E74" w:rsidRDefault="00543E74" w:rsidP="00543E74">
      <w:pPr>
        <w:pStyle w:val="ListParagraph"/>
        <w:numPr>
          <w:ilvl w:val="1"/>
          <w:numId w:val="1"/>
        </w:numPr>
        <w:rPr>
          <w:rFonts w:asciiTheme="minorHAnsi" w:eastAsiaTheme="minorEastAsia" w:hAnsiTheme="minorHAnsi" w:cstheme="minorBidi"/>
          <w:szCs w:val="22"/>
          <w:lang w:val="en-GB"/>
        </w:rPr>
      </w:pPr>
      <w:r w:rsidRPr="210B7E85">
        <w:rPr>
          <w:rFonts w:eastAsia="Calibri" w:cs="Calibri"/>
          <w:szCs w:val="22"/>
          <w:lang w:val="en-GB"/>
        </w:rPr>
        <w:t xml:space="preserve">The timescale should align with the award and would </w:t>
      </w:r>
      <w:r w:rsidRPr="00C95432">
        <w:rPr>
          <w:rFonts w:eastAsia="Calibri" w:cs="Calibri"/>
          <w:szCs w:val="22"/>
          <w:lang w:val="en-GB"/>
        </w:rPr>
        <w:t>ordinarily</w:t>
      </w:r>
      <w:r w:rsidRPr="210B7E85">
        <w:rPr>
          <w:rFonts w:eastAsia="Calibri" w:cs="Calibri"/>
          <w:szCs w:val="22"/>
          <w:lang w:val="en-GB"/>
        </w:rPr>
        <w:t xml:space="preserve"> not exceed 12-18 months from commencement. Note: this timescale applies to the supported activities only, and</w:t>
      </w:r>
      <w:r w:rsidRPr="00C95432">
        <w:rPr>
          <w:rFonts w:eastAsia="Calibri" w:cs="Calibri"/>
          <w:szCs w:val="22"/>
          <w:lang w:val="en-GB"/>
        </w:rPr>
        <w:t xml:space="preserve"> </w:t>
      </w:r>
      <w:r w:rsidRPr="00C95432">
        <w:rPr>
          <w:rFonts w:eastAsia="Calibri" w:cs="Calibri"/>
          <w:b/>
          <w:bCs/>
          <w:szCs w:val="22"/>
          <w:lang w:val="en-GB"/>
        </w:rPr>
        <w:t>not</w:t>
      </w:r>
      <w:r w:rsidRPr="210B7E85">
        <w:rPr>
          <w:rFonts w:eastAsia="Calibri" w:cs="Calibri"/>
          <w:szCs w:val="22"/>
          <w:lang w:val="en-GB"/>
        </w:rPr>
        <w:t xml:space="preserve"> the full completion of the project or development of a potential therapeutic.</w:t>
      </w:r>
    </w:p>
    <w:p w14:paraId="4A03D626" w14:textId="77777777" w:rsidR="00543E74" w:rsidRPr="004B6EDE" w:rsidRDefault="00543E74" w:rsidP="00543E74">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Define an endpoint for the supported Project (as noted above, not necessarily for the entire development project).</w:t>
      </w:r>
    </w:p>
    <w:p w14:paraId="67B2D67D" w14:textId="77777777" w:rsidR="005C2309" w:rsidRPr="000B139E" w:rsidRDefault="005C2309" w:rsidP="005C2309">
      <w:pPr>
        <w:pStyle w:val="ListParagraph"/>
        <w:numPr>
          <w:ilvl w:val="0"/>
          <w:numId w:val="1"/>
        </w:numPr>
        <w:rPr>
          <w:rFonts w:asciiTheme="minorHAnsi" w:eastAsiaTheme="minorEastAsia" w:hAnsiTheme="minorHAnsi" w:cstheme="minorBidi"/>
          <w:szCs w:val="22"/>
          <w:lang w:val="en-GB"/>
        </w:rPr>
      </w:pPr>
      <w:r w:rsidRPr="00D407AF">
        <w:rPr>
          <w:rFonts w:eastAsia="Calibri" w:cs="Calibri"/>
          <w:b/>
          <w:bCs/>
          <w:color w:val="FF0000"/>
          <w:szCs w:val="22"/>
          <w:lang w:val="en-GB"/>
        </w:rPr>
        <w:t>NEW</w:t>
      </w:r>
      <w:r>
        <w:rPr>
          <w:rFonts w:eastAsia="Calibri" w:cs="Calibri"/>
          <w:szCs w:val="22"/>
          <w:lang w:val="en-GB"/>
        </w:rPr>
        <w:t xml:space="preserve">: Provide some level of assurance </w:t>
      </w:r>
      <w:r w:rsidRPr="009F0B77">
        <w:rPr>
          <w:rFonts w:eastAsia="Calibri" w:cs="Calibri"/>
          <w:b/>
          <w:bCs/>
          <w:szCs w:val="22"/>
          <w:lang w:val="en-GB"/>
        </w:rPr>
        <w:t xml:space="preserve">in the </w:t>
      </w:r>
      <w:r>
        <w:rPr>
          <w:rFonts w:eastAsia="Calibri" w:cs="Calibri"/>
          <w:b/>
          <w:bCs/>
          <w:szCs w:val="22"/>
          <w:lang w:val="en-GB"/>
        </w:rPr>
        <w:t>indication of facility support</w:t>
      </w:r>
      <w:r w:rsidRPr="00D45D79">
        <w:rPr>
          <w:rFonts w:eastAsia="Calibri" w:cs="Calibri"/>
          <w:szCs w:val="22"/>
          <w:lang w:val="en-GB"/>
        </w:rPr>
        <w:t xml:space="preserve"> (see application form) </w:t>
      </w:r>
      <w:r>
        <w:rPr>
          <w:rFonts w:eastAsia="Calibri" w:cs="Calibri"/>
          <w:szCs w:val="22"/>
          <w:lang w:val="en-GB"/>
        </w:rPr>
        <w:t xml:space="preserve">that the project can commence </w:t>
      </w:r>
      <w:r w:rsidRPr="000B139E">
        <w:rPr>
          <w:rFonts w:eastAsia="Calibri" w:cs="Calibri"/>
          <w:b/>
          <w:bCs/>
          <w:szCs w:val="22"/>
          <w:lang w:val="en-GB"/>
        </w:rPr>
        <w:t>within 6 months</w:t>
      </w:r>
      <w:r>
        <w:rPr>
          <w:rFonts w:eastAsia="Calibri" w:cs="Calibri"/>
          <w:szCs w:val="22"/>
          <w:lang w:val="en-GB"/>
        </w:rPr>
        <w:t xml:space="preserve"> of award.</w:t>
      </w:r>
    </w:p>
    <w:p w14:paraId="50B84BC1" w14:textId="77777777" w:rsidR="00543E74" w:rsidRPr="004C07AA" w:rsidRDefault="00543E74" w:rsidP="00543E74">
      <w:pPr>
        <w:pStyle w:val="ListParagraph"/>
        <w:numPr>
          <w:ilvl w:val="0"/>
          <w:numId w:val="1"/>
        </w:numPr>
        <w:rPr>
          <w:lang w:val="en-GB"/>
        </w:rPr>
      </w:pPr>
      <w:r w:rsidRPr="00D407AF">
        <w:rPr>
          <w:b/>
          <w:bCs/>
          <w:color w:val="FF0000"/>
          <w:lang w:val="en-GB"/>
        </w:rPr>
        <w:t>NEW</w:t>
      </w:r>
      <w:r w:rsidRPr="004C07AA">
        <w:rPr>
          <w:b/>
          <w:bCs/>
          <w:lang w:val="en-GB"/>
        </w:rPr>
        <w:t>:</w:t>
      </w:r>
      <w:r>
        <w:rPr>
          <w:lang w:val="en-GB"/>
        </w:rPr>
        <w:t xml:space="preserve"> Applicants seeking to access facilities within their own academic units or host entities (that is, “Internal” projects) will be required to briefly articulate why voucher funding is necessary to access an internal facility</w:t>
      </w:r>
      <w:r w:rsidRPr="001B496E">
        <w:rPr>
          <w:lang w:val="en-GB"/>
        </w:rPr>
        <w:t>.</w:t>
      </w:r>
    </w:p>
    <w:p w14:paraId="493F1343" w14:textId="77777777" w:rsidR="00543E74" w:rsidRPr="00FA477E" w:rsidRDefault="00543E74" w:rsidP="00543E74">
      <w:pPr>
        <w:pStyle w:val="ListParagraph"/>
        <w:numPr>
          <w:ilvl w:val="0"/>
          <w:numId w:val="1"/>
        </w:numPr>
        <w:rPr>
          <w:rFonts w:asciiTheme="minorHAnsi" w:eastAsiaTheme="minorEastAsia" w:hAnsiTheme="minorHAnsi" w:cstheme="minorBidi"/>
          <w:szCs w:val="22"/>
          <w:lang w:val="en-GB"/>
        </w:rPr>
      </w:pPr>
      <w:r w:rsidRPr="00FA477E">
        <w:rPr>
          <w:rFonts w:eastAsia="Calibri" w:cs="Calibri"/>
          <w:szCs w:val="22"/>
          <w:lang w:val="en-GB"/>
        </w:rPr>
        <w:t>Submit all the required documents – Application form, quotes from Providers, letter/</w:t>
      </w:r>
      <w:proofErr w:type="gramStart"/>
      <w:r w:rsidRPr="00FA477E">
        <w:rPr>
          <w:rFonts w:eastAsia="Calibri" w:cs="Calibri"/>
          <w:szCs w:val="22"/>
          <w:lang w:val="en-GB"/>
        </w:rPr>
        <w:t>email</w:t>
      </w:r>
      <w:proofErr w:type="gramEnd"/>
      <w:r w:rsidRPr="00FA477E">
        <w:rPr>
          <w:rFonts w:eastAsia="Calibri" w:cs="Calibri"/>
          <w:szCs w:val="22"/>
          <w:lang w:val="en-GB"/>
        </w:rPr>
        <w:t xml:space="preserve"> or support from Providers. Incomplete applications will be automatically rejected.  </w:t>
      </w:r>
    </w:p>
    <w:p w14:paraId="6A493C6E" w14:textId="77777777" w:rsidR="007B5028" w:rsidRPr="00EB433B" w:rsidRDefault="007B5028" w:rsidP="00EB433B">
      <w:pPr>
        <w:rPr>
          <w:lang w:val="en-GB"/>
        </w:rPr>
      </w:pPr>
    </w:p>
    <w:p w14:paraId="16A03E93" w14:textId="77777777" w:rsidR="007B5028" w:rsidRPr="00494249" w:rsidRDefault="007B5028" w:rsidP="007B5028">
      <w:pPr>
        <w:pStyle w:val="Heading2"/>
        <w:rPr>
          <w:lang w:val="en-GB"/>
        </w:rPr>
      </w:pPr>
      <w:r w:rsidRPr="00494249">
        <w:rPr>
          <w:lang w:val="en-GB"/>
        </w:rPr>
        <w:t>Funding level</w:t>
      </w:r>
    </w:p>
    <w:p w14:paraId="1C8D557C" w14:textId="77777777" w:rsidR="007B5028" w:rsidRPr="00494249" w:rsidRDefault="007B5028" w:rsidP="007B5028">
      <w:pPr>
        <w:rPr>
          <w:lang w:val="en-GB"/>
        </w:rPr>
      </w:pPr>
      <w:r w:rsidRPr="00494249">
        <w:rPr>
          <w:lang w:val="en-GB"/>
        </w:rPr>
        <w:t>The scheme will offer three separate funding levels (as listed below) to account for the range of potential projects costs.</w:t>
      </w:r>
    </w:p>
    <w:p w14:paraId="751545D8" w14:textId="61D15E8F" w:rsidR="007B5028" w:rsidRPr="00494249" w:rsidRDefault="007B5028" w:rsidP="007B5028">
      <w:pPr>
        <w:pStyle w:val="ListParagraph"/>
        <w:numPr>
          <w:ilvl w:val="1"/>
          <w:numId w:val="20"/>
        </w:numPr>
        <w:rPr>
          <w:b/>
          <w:bCs/>
          <w:lang w:val="en-GB"/>
        </w:rPr>
      </w:pPr>
      <w:r w:rsidRPr="00494249">
        <w:rPr>
          <w:b/>
          <w:bCs/>
          <w:lang w:val="en-GB"/>
        </w:rPr>
        <w:t xml:space="preserve">$10,000 </w:t>
      </w:r>
      <w:r w:rsidRPr="00494249">
        <w:rPr>
          <w:lang w:val="en-GB"/>
        </w:rPr>
        <w:t>ex GST</w:t>
      </w:r>
      <w:r w:rsidR="00BE699D">
        <w:rPr>
          <w:lang w:val="en-GB"/>
        </w:rPr>
        <w:t xml:space="preserve"> </w:t>
      </w:r>
      <w:r w:rsidR="00BE699D" w:rsidRPr="00BE699D">
        <w:rPr>
          <w:b/>
          <w:bCs/>
          <w:u w:val="single"/>
          <w:lang w:val="en-GB"/>
        </w:rPr>
        <w:t>OR</w:t>
      </w:r>
    </w:p>
    <w:p w14:paraId="4C255A77" w14:textId="3AF7D107" w:rsidR="007B5028" w:rsidRPr="00494249" w:rsidRDefault="007B5028" w:rsidP="007B5028">
      <w:pPr>
        <w:pStyle w:val="ListParagraph"/>
        <w:numPr>
          <w:ilvl w:val="1"/>
          <w:numId w:val="20"/>
        </w:numPr>
        <w:rPr>
          <w:lang w:val="en-GB"/>
        </w:rPr>
      </w:pPr>
      <w:r w:rsidRPr="00494249">
        <w:rPr>
          <w:b/>
          <w:bCs/>
          <w:lang w:val="en-GB"/>
        </w:rPr>
        <w:t xml:space="preserve">$20,000 </w:t>
      </w:r>
      <w:r w:rsidRPr="00494249">
        <w:rPr>
          <w:lang w:val="en-GB"/>
        </w:rPr>
        <w:t>ex GST</w:t>
      </w:r>
      <w:r w:rsidR="00BE699D">
        <w:rPr>
          <w:lang w:val="en-GB"/>
        </w:rPr>
        <w:t xml:space="preserve"> </w:t>
      </w:r>
      <w:r w:rsidR="00BE699D" w:rsidRPr="00BE699D">
        <w:rPr>
          <w:b/>
          <w:bCs/>
          <w:u w:val="single"/>
          <w:lang w:val="en-GB"/>
        </w:rPr>
        <w:t>OR</w:t>
      </w:r>
    </w:p>
    <w:p w14:paraId="500C6FC1" w14:textId="77777777" w:rsidR="007B5028" w:rsidRPr="00494249" w:rsidRDefault="007B5028" w:rsidP="007B5028">
      <w:pPr>
        <w:pStyle w:val="ListParagraph"/>
        <w:numPr>
          <w:ilvl w:val="1"/>
          <w:numId w:val="20"/>
        </w:numPr>
        <w:rPr>
          <w:lang w:val="en-GB"/>
        </w:rPr>
      </w:pPr>
      <w:r w:rsidRPr="00494249">
        <w:rPr>
          <w:b/>
          <w:bCs/>
          <w:lang w:val="en-GB"/>
        </w:rPr>
        <w:t xml:space="preserve">$50,000 </w:t>
      </w:r>
      <w:r w:rsidRPr="00494249">
        <w:rPr>
          <w:lang w:val="en-GB"/>
        </w:rPr>
        <w:t xml:space="preserve">ex GST </w:t>
      </w:r>
    </w:p>
    <w:p w14:paraId="7FC4466C" w14:textId="30E50BFD" w:rsidR="00D16054" w:rsidRDefault="007B5028" w:rsidP="00D16054">
      <w:pPr>
        <w:rPr>
          <w:lang w:val="en-GB"/>
        </w:rPr>
      </w:pPr>
      <w:r w:rsidRPr="00494249">
        <w:rPr>
          <w:lang w:val="en-GB"/>
        </w:rPr>
        <w:t xml:space="preserve">Applications should specify the level of funding to apply for. Applicants will </w:t>
      </w:r>
      <w:r w:rsidRPr="00494249">
        <w:rPr>
          <w:b/>
          <w:lang w:val="en-GB"/>
        </w:rPr>
        <w:t>not</w:t>
      </w:r>
      <w:r w:rsidRPr="00494249">
        <w:rPr>
          <w:lang w:val="en-GB"/>
        </w:rPr>
        <w:t xml:space="preserve"> be offered a </w:t>
      </w:r>
      <w:r w:rsidRPr="00494249">
        <w:rPr>
          <w:b/>
          <w:bCs/>
          <w:lang w:val="en-GB"/>
        </w:rPr>
        <w:t>different</w:t>
      </w:r>
      <w:r w:rsidRPr="00494249">
        <w:rPr>
          <w:lang w:val="en-GB"/>
        </w:rPr>
        <w:t xml:space="preserve"> level of funding than was applied for.</w:t>
      </w:r>
      <w:r w:rsidR="00D16054">
        <w:rPr>
          <w:lang w:val="en-GB"/>
        </w:rPr>
        <w:t xml:space="preserve"> </w:t>
      </w:r>
    </w:p>
    <w:p w14:paraId="2FA0BA3E" w14:textId="77777777" w:rsidR="00094715" w:rsidRDefault="00DE5CFA" w:rsidP="00D16054">
      <w:pPr>
        <w:rPr>
          <w:b/>
          <w:bCs/>
          <w:lang w:val="en-GB"/>
        </w:rPr>
      </w:pPr>
      <w:r>
        <w:rPr>
          <w:b/>
          <w:bCs/>
          <w:lang w:val="en-GB"/>
        </w:rPr>
        <w:t xml:space="preserve">PLEASE </w:t>
      </w:r>
      <w:r w:rsidRPr="00DE5CFA">
        <w:rPr>
          <w:b/>
          <w:bCs/>
          <w:lang w:val="en-GB"/>
        </w:rPr>
        <w:t>NOTE</w:t>
      </w:r>
      <w:r w:rsidR="00094715">
        <w:rPr>
          <w:b/>
          <w:bCs/>
          <w:lang w:val="en-GB"/>
        </w:rPr>
        <w:t xml:space="preserve"> the following:</w:t>
      </w:r>
    </w:p>
    <w:p w14:paraId="5E09B4D0" w14:textId="7F77BD29" w:rsidR="00DE5CFA" w:rsidRPr="004A2C12" w:rsidRDefault="00DE5CFA" w:rsidP="004A2C12">
      <w:pPr>
        <w:pStyle w:val="ListParagraph"/>
        <w:numPr>
          <w:ilvl w:val="0"/>
          <w:numId w:val="27"/>
        </w:numPr>
        <w:rPr>
          <w:lang w:val="en-GB"/>
        </w:rPr>
      </w:pPr>
      <w:r w:rsidRPr="004A2C12">
        <w:rPr>
          <w:lang w:val="en-GB"/>
        </w:rPr>
        <w:t>We are no longer offering $5,000 vouchers or multiples of vouchers.</w:t>
      </w:r>
    </w:p>
    <w:p w14:paraId="0F894A07" w14:textId="3E69995F" w:rsidR="005959EA" w:rsidRPr="004A2C12" w:rsidRDefault="004D4BC1" w:rsidP="004A2C12">
      <w:pPr>
        <w:pStyle w:val="ListParagraph"/>
        <w:numPr>
          <w:ilvl w:val="0"/>
          <w:numId w:val="27"/>
        </w:numPr>
        <w:rPr>
          <w:lang w:val="en-GB"/>
        </w:rPr>
      </w:pPr>
      <w:r w:rsidRPr="004A2C12">
        <w:rPr>
          <w:lang w:val="en-GB"/>
        </w:rPr>
        <w:t>M</w:t>
      </w:r>
      <w:r w:rsidR="00D16054" w:rsidRPr="004A2C12">
        <w:rPr>
          <w:lang w:val="en-GB"/>
        </w:rPr>
        <w:t>ultiple facilities may be accessed using a single voucher</w:t>
      </w:r>
      <w:r w:rsidR="00551C0B" w:rsidRPr="004A2C12">
        <w:rPr>
          <w:lang w:val="en-GB"/>
        </w:rPr>
        <w:t>.</w:t>
      </w:r>
    </w:p>
    <w:p w14:paraId="6AE0CA53" w14:textId="249E39B4" w:rsidR="00645437" w:rsidRPr="004A2C12" w:rsidRDefault="00094715" w:rsidP="004A2C12">
      <w:pPr>
        <w:pStyle w:val="ListParagraph"/>
        <w:numPr>
          <w:ilvl w:val="0"/>
          <w:numId w:val="27"/>
        </w:numPr>
        <w:rPr>
          <w:lang w:val="en-GB"/>
        </w:rPr>
      </w:pPr>
      <w:r w:rsidRPr="004A2C12">
        <w:rPr>
          <w:lang w:val="en-GB"/>
        </w:rPr>
        <w:t>A</w:t>
      </w:r>
      <w:r w:rsidR="005959EA" w:rsidRPr="004A2C12">
        <w:rPr>
          <w:lang w:val="en-GB"/>
        </w:rPr>
        <w:t>n applicant may apply to multiple facilities</w:t>
      </w:r>
      <w:r w:rsidR="00551C0B" w:rsidRPr="004A2C12">
        <w:rPr>
          <w:lang w:val="en-GB"/>
        </w:rPr>
        <w:t xml:space="preserve"> </w:t>
      </w:r>
      <w:r w:rsidR="00645437" w:rsidRPr="004A2C12">
        <w:rPr>
          <w:lang w:val="en-GB"/>
        </w:rPr>
        <w:t xml:space="preserve">to support </w:t>
      </w:r>
      <w:r w:rsidR="00645437" w:rsidRPr="005D4845">
        <w:rPr>
          <w:b/>
          <w:bCs/>
          <w:lang w:val="en-GB"/>
        </w:rPr>
        <w:t xml:space="preserve">different </w:t>
      </w:r>
      <w:r w:rsidR="005D4845" w:rsidRPr="005D4845">
        <w:rPr>
          <w:b/>
          <w:bCs/>
          <w:lang w:val="en-GB"/>
        </w:rPr>
        <w:t>aspects</w:t>
      </w:r>
      <w:r w:rsidR="00645437" w:rsidRPr="004A2C12">
        <w:rPr>
          <w:lang w:val="en-GB"/>
        </w:rPr>
        <w:t xml:space="preserve"> of the same project, although the maximum voucher benefit to a facility is $50,000 per project.</w:t>
      </w:r>
    </w:p>
    <w:p w14:paraId="47F7CAF7" w14:textId="77777777" w:rsidR="00633E9A" w:rsidRDefault="00633E9A" w:rsidP="00633E9A">
      <w:pPr>
        <w:pStyle w:val="Heading2"/>
        <w:rPr>
          <w:lang w:val="en-GB"/>
        </w:rPr>
      </w:pPr>
      <w:r>
        <w:rPr>
          <w:lang w:val="en-GB"/>
        </w:rPr>
        <w:lastRenderedPageBreak/>
        <w:t>Co-investment expectations</w:t>
      </w:r>
    </w:p>
    <w:p w14:paraId="20953745" w14:textId="7A3548E7" w:rsidR="000B60AC" w:rsidRDefault="000B60AC" w:rsidP="000B60AC">
      <w:pPr>
        <w:rPr>
          <w:rFonts w:eastAsia="Calibri" w:cs="Calibri"/>
          <w:lang w:val="en-GB"/>
        </w:rPr>
      </w:pPr>
      <w:r w:rsidRPr="2F72C7C5">
        <w:rPr>
          <w:rFonts w:eastAsia="Calibri" w:cs="Calibri"/>
          <w:lang w:val="en-GB"/>
        </w:rPr>
        <w:t>Co-investment is an important aspect of this scheme, as applicants must have some “skin in the game”</w:t>
      </w:r>
      <w:r>
        <w:rPr>
          <w:rFonts w:eastAsia="Calibri" w:cs="Calibri"/>
          <w:lang w:val="en-GB"/>
        </w:rPr>
        <w:t xml:space="preserve"> and must have access to sufficient resources to complete the proposed work</w:t>
      </w:r>
      <w:r w:rsidRPr="2F72C7C5">
        <w:rPr>
          <w:rFonts w:eastAsia="Calibri" w:cs="Calibri"/>
          <w:lang w:val="en-GB"/>
        </w:rPr>
        <w:t>.</w:t>
      </w:r>
      <w:r>
        <w:rPr>
          <w:rFonts w:eastAsia="Calibri" w:cs="Calibri"/>
          <w:lang w:val="en-GB"/>
        </w:rPr>
        <w:t xml:space="preserve"> </w:t>
      </w:r>
      <w:r w:rsidRPr="000B60AC">
        <w:rPr>
          <w:rFonts w:eastAsia="Calibri" w:cs="Calibri"/>
          <w:b/>
          <w:bCs/>
          <w:lang w:val="en-GB"/>
        </w:rPr>
        <w:t>Vouchers are not intended to fully-fund projects</w:t>
      </w:r>
      <w:r>
        <w:rPr>
          <w:rFonts w:eastAsia="Calibri" w:cs="Calibri"/>
          <w:lang w:val="en-GB"/>
        </w:rPr>
        <w:t>.</w:t>
      </w:r>
      <w:r w:rsidRPr="2F72C7C5">
        <w:rPr>
          <w:rFonts w:eastAsia="Calibri" w:cs="Calibri"/>
          <w:lang w:val="en-GB"/>
        </w:rPr>
        <w:t xml:space="preserve"> Applications must therefore demonstrate significant cash co-investment to confirm that, should the voucher be awarded, the proposed </w:t>
      </w:r>
      <w:r>
        <w:rPr>
          <w:rFonts w:eastAsia="Calibri" w:cs="Calibri"/>
          <w:lang w:val="en-GB"/>
        </w:rPr>
        <w:t>work</w:t>
      </w:r>
      <w:r w:rsidRPr="2F72C7C5">
        <w:rPr>
          <w:rFonts w:eastAsia="Calibri" w:cs="Calibri"/>
          <w:lang w:val="en-GB"/>
        </w:rPr>
        <w:t xml:space="preserve"> </w:t>
      </w:r>
      <w:r w:rsidRPr="00240408">
        <w:rPr>
          <w:rFonts w:eastAsia="Calibri" w:cs="Calibri"/>
          <w:lang w:val="en-GB"/>
        </w:rPr>
        <w:t xml:space="preserve">is fully </w:t>
      </w:r>
      <w:r>
        <w:rPr>
          <w:rFonts w:eastAsia="Calibri" w:cs="Calibri"/>
          <w:lang w:val="en-GB"/>
        </w:rPr>
        <w:t>supported</w:t>
      </w:r>
      <w:r w:rsidRPr="00240408">
        <w:rPr>
          <w:rFonts w:eastAsia="Calibri" w:cs="Calibri"/>
          <w:lang w:val="en-GB"/>
        </w:rPr>
        <w:t>.</w:t>
      </w:r>
    </w:p>
    <w:p w14:paraId="17762730" w14:textId="77777777" w:rsidR="000B60AC" w:rsidRPr="00FD7396" w:rsidRDefault="000B60AC" w:rsidP="000B60AC">
      <w:pPr>
        <w:rPr>
          <w:rFonts w:eastAsia="Calibri" w:cs="Calibri"/>
          <w:lang w:val="en-GB"/>
        </w:rPr>
      </w:pPr>
      <w:r w:rsidRPr="00240408">
        <w:rPr>
          <w:rFonts w:eastAsia="Calibri" w:cs="Calibri"/>
          <w:lang w:val="en-GB"/>
        </w:rPr>
        <w:t xml:space="preserve">The </w:t>
      </w:r>
      <w:r w:rsidRPr="000E1103">
        <w:rPr>
          <w:rFonts w:eastAsia="Calibri" w:cs="Calibri"/>
          <w:i/>
          <w:iCs/>
          <w:u w:val="single"/>
          <w:lang w:val="en-GB"/>
        </w:rPr>
        <w:t>ideal</w:t>
      </w:r>
      <w:r w:rsidRPr="00240408">
        <w:rPr>
          <w:rFonts w:eastAsia="Calibri" w:cs="Calibri"/>
          <w:lang w:val="en-GB"/>
        </w:rPr>
        <w:t xml:space="preserve"> level of co-investment is </w:t>
      </w:r>
      <w:r>
        <w:rPr>
          <w:rFonts w:eastAsia="Calibri" w:cs="Calibri"/>
          <w:lang w:val="en-GB"/>
        </w:rPr>
        <w:t xml:space="preserve">1:1 (100%) matching of the </w:t>
      </w:r>
      <w:r w:rsidRPr="00240408">
        <w:rPr>
          <w:rFonts w:eastAsia="Calibri" w:cs="Calibri"/>
          <w:lang w:val="en-GB"/>
        </w:rPr>
        <w:t>voucher</w:t>
      </w:r>
      <w:r>
        <w:rPr>
          <w:rFonts w:eastAsia="Calibri" w:cs="Calibri"/>
          <w:lang w:val="en-GB"/>
        </w:rPr>
        <w:t xml:space="preserve"> value</w:t>
      </w:r>
      <w:r w:rsidRPr="00240408">
        <w:rPr>
          <w:rFonts w:eastAsia="Calibri" w:cs="Calibri"/>
          <w:lang w:val="en-GB"/>
        </w:rPr>
        <w:t>.</w:t>
      </w:r>
      <w:r w:rsidRPr="00446983">
        <w:rPr>
          <w:rFonts w:eastAsia="Calibri" w:cs="Calibri"/>
          <w:lang w:val="en-GB"/>
        </w:rPr>
        <w:t xml:space="preserve"> </w:t>
      </w:r>
      <w:r w:rsidRPr="00240408">
        <w:rPr>
          <w:rFonts w:eastAsia="Calibri" w:cs="Calibri"/>
          <w:lang w:val="en-GB"/>
        </w:rPr>
        <w:t xml:space="preserve">For example, for a </w:t>
      </w:r>
      <w:r>
        <w:rPr>
          <w:rFonts w:eastAsia="Calibri" w:cs="Calibri"/>
          <w:lang w:val="en-GB"/>
        </w:rPr>
        <w:t xml:space="preserve">service quoted at </w:t>
      </w:r>
      <w:r w:rsidRPr="00240408">
        <w:rPr>
          <w:rFonts w:eastAsia="Calibri" w:cs="Calibri"/>
          <w:lang w:val="en-GB"/>
        </w:rPr>
        <w:t>$100,000, an Applicant can apply for $50,000 voucher</w:t>
      </w:r>
      <w:r>
        <w:rPr>
          <w:rFonts w:eastAsia="Calibri" w:cs="Calibri"/>
          <w:lang w:val="en-GB"/>
        </w:rPr>
        <w:t>, but contributes $50,000 to meet the total cost of the quoted service</w:t>
      </w:r>
      <w:r w:rsidRPr="00240408">
        <w:rPr>
          <w:rFonts w:eastAsia="Calibri" w:cs="Calibri"/>
          <w:lang w:val="en-GB"/>
        </w:rPr>
        <w:t>.</w:t>
      </w:r>
    </w:p>
    <w:p w14:paraId="2ACA1D1A" w14:textId="77777777" w:rsidR="000B60AC" w:rsidRDefault="000B60AC" w:rsidP="000B60AC">
      <w:pPr>
        <w:rPr>
          <w:rFonts w:eastAsia="Calibri" w:cs="Calibri"/>
          <w:lang w:val="en-GB"/>
        </w:rPr>
      </w:pPr>
      <w:r>
        <w:rPr>
          <w:rFonts w:eastAsia="Calibri" w:cs="Calibri"/>
          <w:lang w:val="en-GB"/>
        </w:rPr>
        <w:t xml:space="preserve">The </w:t>
      </w:r>
      <w:r w:rsidRPr="000E1103">
        <w:rPr>
          <w:rFonts w:eastAsia="Calibri" w:cs="Calibri"/>
          <w:i/>
          <w:iCs/>
          <w:u w:val="single"/>
          <w:lang w:val="en-GB"/>
        </w:rPr>
        <w:t>minimum</w:t>
      </w:r>
      <w:r>
        <w:rPr>
          <w:rFonts w:eastAsia="Calibri" w:cs="Calibri"/>
          <w:lang w:val="en-GB"/>
        </w:rPr>
        <w:t xml:space="preserve"> level of co-investment is 50% of the voucher value. For example, for a service quoted at $30,000, an Applicant can apply for a $20,000 voucher, but must contribute an absolute minimum of $10,000 to meet the total cost of the quoted service.</w:t>
      </w:r>
    </w:p>
    <w:p w14:paraId="0AA24469" w14:textId="59F80E94" w:rsidR="007B5028" w:rsidRPr="00494249" w:rsidRDefault="007B5028" w:rsidP="002713FC">
      <w:pPr>
        <w:pStyle w:val="Heading2"/>
        <w:rPr>
          <w:lang w:val="en-GB"/>
        </w:rPr>
      </w:pPr>
      <w:r w:rsidRPr="00494249">
        <w:rPr>
          <w:lang w:val="en-GB"/>
        </w:rPr>
        <w:t>Application and funding process</w:t>
      </w:r>
    </w:p>
    <w:p w14:paraId="0E272127" w14:textId="77777777" w:rsidR="007B5028" w:rsidRPr="00494249" w:rsidRDefault="007B5028" w:rsidP="007B5028">
      <w:pPr>
        <w:pStyle w:val="ListParagraph"/>
        <w:numPr>
          <w:ilvl w:val="0"/>
          <w:numId w:val="16"/>
        </w:numPr>
        <w:rPr>
          <w:b/>
          <w:i/>
          <w:sz w:val="28"/>
          <w:lang w:val="en-GB"/>
        </w:rPr>
      </w:pPr>
      <w:r w:rsidRPr="00494249">
        <w:rPr>
          <w:b/>
          <w:i/>
          <w:sz w:val="28"/>
          <w:lang w:val="en-GB"/>
        </w:rPr>
        <w:t>Applications open</w:t>
      </w:r>
    </w:p>
    <w:p w14:paraId="0E2F80B4" w14:textId="77777777" w:rsidR="007B5028" w:rsidRPr="00494249" w:rsidRDefault="007B5028" w:rsidP="007B5028">
      <w:pPr>
        <w:spacing w:after="0"/>
        <w:rPr>
          <w:lang w:val="en-GB"/>
        </w:rPr>
      </w:pPr>
      <w:r w:rsidRPr="00494249">
        <w:rPr>
          <w:lang w:val="en-GB"/>
        </w:rPr>
        <w:t xml:space="preserve">TIA publishes a call for applications through a variety of channels. </w:t>
      </w:r>
    </w:p>
    <w:p w14:paraId="4F694152" w14:textId="77777777" w:rsidR="007B5028" w:rsidRPr="00494249" w:rsidRDefault="007B5028" w:rsidP="007B5028">
      <w:pPr>
        <w:spacing w:after="0"/>
        <w:rPr>
          <w:lang w:val="en-GB"/>
        </w:rPr>
      </w:pPr>
    </w:p>
    <w:p w14:paraId="13FBCF04" w14:textId="77777777" w:rsidR="007B5028" w:rsidRPr="00494249" w:rsidRDefault="007B5028" w:rsidP="007B5028">
      <w:pPr>
        <w:spacing w:after="0"/>
        <w:rPr>
          <w:lang w:val="en-GB"/>
        </w:rPr>
      </w:pPr>
      <w:r w:rsidRPr="00494249">
        <w:rPr>
          <w:lang w:val="en-GB"/>
        </w:rPr>
        <w:t>Applicants approach Providers with a project (</w:t>
      </w:r>
      <w:proofErr w:type="gramStart"/>
      <w:r w:rsidRPr="00494249">
        <w:rPr>
          <w:lang w:val="en-GB"/>
        </w:rPr>
        <w:t>i.e.</w:t>
      </w:r>
      <w:proofErr w:type="gramEnd"/>
      <w:r w:rsidRPr="00494249">
        <w:rPr>
          <w:lang w:val="en-GB"/>
        </w:rPr>
        <w:t xml:space="preserve"> request to access a specific translational research capability) and request a quote for services. </w:t>
      </w:r>
    </w:p>
    <w:p w14:paraId="3E419954" w14:textId="77777777" w:rsidR="007B5028" w:rsidRPr="00494249" w:rsidRDefault="007B5028" w:rsidP="007B5028">
      <w:pPr>
        <w:spacing w:after="0"/>
        <w:rPr>
          <w:lang w:val="en-GB"/>
        </w:rPr>
      </w:pPr>
    </w:p>
    <w:p w14:paraId="75A4134A" w14:textId="77777777" w:rsidR="007B5028" w:rsidRPr="00494249" w:rsidRDefault="007B5028" w:rsidP="007B5028">
      <w:pPr>
        <w:spacing w:after="0"/>
        <w:rPr>
          <w:lang w:val="en-GB"/>
        </w:rPr>
      </w:pPr>
      <w:r w:rsidRPr="00494249">
        <w:rPr>
          <w:lang w:val="en-GB"/>
        </w:rPr>
        <w:t>Applicant writes brief application for support and requests either $10,000 ex GST, $20,000 ex GST or $50,000 ex GST.</w:t>
      </w:r>
    </w:p>
    <w:p w14:paraId="3284EDAD" w14:textId="77777777" w:rsidR="007B5028" w:rsidRPr="00494249" w:rsidRDefault="007B5028" w:rsidP="007B5028">
      <w:pPr>
        <w:spacing w:after="0"/>
        <w:rPr>
          <w:lang w:val="en-GB"/>
        </w:rPr>
      </w:pPr>
    </w:p>
    <w:p w14:paraId="09D18F00" w14:textId="77777777" w:rsidR="00B73548" w:rsidRPr="00971CBB" w:rsidRDefault="00B73548" w:rsidP="00B73548">
      <w:pPr>
        <w:spacing w:after="0"/>
        <w:rPr>
          <w:b/>
          <w:bCs/>
          <w:i/>
          <w:iCs/>
          <w:lang w:val="en-GB"/>
        </w:rPr>
      </w:pPr>
      <w:r>
        <w:rPr>
          <w:b/>
          <w:bCs/>
          <w:i/>
          <w:iCs/>
          <w:lang w:val="en-GB"/>
        </w:rPr>
        <w:t xml:space="preserve">IMPORTANT: </w:t>
      </w:r>
      <w:r w:rsidRPr="00971CBB">
        <w:rPr>
          <w:b/>
          <w:bCs/>
          <w:i/>
          <w:iCs/>
          <w:lang w:val="en-GB"/>
        </w:rPr>
        <w:t>It will be assumed that Providers will have worked closely with Applicants on the application and will have provided the necessary advice and guidance to maximise the chance of project success.</w:t>
      </w:r>
    </w:p>
    <w:p w14:paraId="5A03B417" w14:textId="77777777" w:rsidR="007B5028" w:rsidRPr="00494249" w:rsidRDefault="007B5028" w:rsidP="007B5028">
      <w:pPr>
        <w:spacing w:after="0"/>
        <w:rPr>
          <w:i/>
          <w:iCs/>
          <w:lang w:val="en-GB"/>
        </w:rPr>
      </w:pPr>
    </w:p>
    <w:p w14:paraId="5B20C59F" w14:textId="77777777" w:rsidR="007B5028" w:rsidRPr="00494249" w:rsidRDefault="007B5028" w:rsidP="007B5028">
      <w:pPr>
        <w:spacing w:after="0"/>
        <w:rPr>
          <w:lang w:val="en-GB"/>
        </w:rPr>
      </w:pPr>
      <w:r w:rsidRPr="00494249">
        <w:rPr>
          <w:iCs/>
          <w:lang w:val="en-GB"/>
        </w:rPr>
        <w:t xml:space="preserve">The Application package will be hosted on the TIA website at the following URL:  </w:t>
      </w:r>
      <w:hyperlink r:id="rId41" w:history="1">
        <w:r w:rsidRPr="00494249">
          <w:rPr>
            <w:rStyle w:val="Hyperlink"/>
            <w:iCs/>
            <w:lang w:val="en-GB"/>
          </w:rPr>
          <w:t>http://www.therapeuticinnovation.com.au/accelerator</w:t>
        </w:r>
      </w:hyperlink>
      <w:r w:rsidRPr="00494249">
        <w:rPr>
          <w:iCs/>
          <w:lang w:val="en-GB"/>
        </w:rPr>
        <w:t>. Detailed instructions are included on the Application form template.</w:t>
      </w:r>
    </w:p>
    <w:p w14:paraId="134A5ADA" w14:textId="77777777" w:rsidR="007B5028" w:rsidRPr="00494249" w:rsidRDefault="007B5028" w:rsidP="007B5028">
      <w:pPr>
        <w:spacing w:after="0"/>
        <w:rPr>
          <w:lang w:val="en-GB"/>
        </w:rPr>
      </w:pPr>
    </w:p>
    <w:p w14:paraId="268C1ADD" w14:textId="77777777" w:rsidR="007B5028" w:rsidRPr="00494249" w:rsidRDefault="007B5028" w:rsidP="007B5028">
      <w:pPr>
        <w:spacing w:after="0"/>
        <w:rPr>
          <w:lang w:val="en-GB"/>
        </w:rPr>
      </w:pPr>
      <w:r w:rsidRPr="00494249">
        <w:rPr>
          <w:lang w:val="en-GB"/>
        </w:rPr>
        <w:t>Applicant submits application package to TIA before the closing date, which will be advised on the scheme’s webpage and on the application form.</w:t>
      </w:r>
    </w:p>
    <w:p w14:paraId="67EF5691" w14:textId="77777777" w:rsidR="007B5028" w:rsidRPr="00494249" w:rsidRDefault="007B5028" w:rsidP="007B5028">
      <w:pPr>
        <w:spacing w:after="0"/>
        <w:rPr>
          <w:lang w:val="en-GB"/>
        </w:rPr>
      </w:pPr>
    </w:p>
    <w:p w14:paraId="63D8E10D" w14:textId="77777777" w:rsidR="007B5028" w:rsidRPr="00494249" w:rsidRDefault="007B5028" w:rsidP="007B5028">
      <w:pPr>
        <w:pStyle w:val="ListParagraph"/>
        <w:numPr>
          <w:ilvl w:val="0"/>
          <w:numId w:val="16"/>
        </w:numPr>
        <w:spacing w:after="0"/>
        <w:rPr>
          <w:b/>
          <w:i/>
          <w:sz w:val="28"/>
          <w:lang w:val="en-GB"/>
        </w:rPr>
      </w:pPr>
      <w:r w:rsidRPr="00494249">
        <w:rPr>
          <w:b/>
          <w:i/>
          <w:sz w:val="28"/>
          <w:lang w:val="en-GB"/>
        </w:rPr>
        <w:t>Applications close</w:t>
      </w:r>
    </w:p>
    <w:p w14:paraId="123E8A8A" w14:textId="77777777" w:rsidR="007B5028" w:rsidRPr="00494249" w:rsidRDefault="007B5028" w:rsidP="007B5028">
      <w:pPr>
        <w:spacing w:after="0"/>
        <w:rPr>
          <w:lang w:val="en-GB"/>
        </w:rPr>
      </w:pPr>
    </w:p>
    <w:p w14:paraId="0455894F" w14:textId="77777777" w:rsidR="007B5028" w:rsidRPr="00494249" w:rsidRDefault="007B5028" w:rsidP="007B5028">
      <w:pPr>
        <w:pStyle w:val="ListParagraph"/>
        <w:numPr>
          <w:ilvl w:val="0"/>
          <w:numId w:val="16"/>
        </w:numPr>
        <w:spacing w:after="0"/>
        <w:rPr>
          <w:b/>
          <w:i/>
          <w:sz w:val="28"/>
          <w:lang w:val="en-GB"/>
        </w:rPr>
      </w:pPr>
      <w:r w:rsidRPr="00494249">
        <w:rPr>
          <w:b/>
          <w:i/>
          <w:sz w:val="28"/>
          <w:lang w:val="en-GB"/>
        </w:rPr>
        <w:t>Project selection</w:t>
      </w:r>
    </w:p>
    <w:p w14:paraId="60813F83" w14:textId="77777777" w:rsidR="007B5028" w:rsidRPr="00494249" w:rsidRDefault="007B5028" w:rsidP="007B5028">
      <w:pPr>
        <w:spacing w:after="0"/>
        <w:rPr>
          <w:lang w:val="en-GB"/>
        </w:rPr>
      </w:pPr>
    </w:p>
    <w:p w14:paraId="596E7E0C" w14:textId="77777777" w:rsidR="007B5028" w:rsidRPr="00494249" w:rsidRDefault="007B5028" w:rsidP="007B5028">
      <w:pPr>
        <w:spacing w:after="0"/>
        <w:rPr>
          <w:lang w:val="en-GB"/>
        </w:rPr>
      </w:pPr>
      <w:r w:rsidRPr="00494249">
        <w:rPr>
          <w:lang w:val="en-GB"/>
        </w:rPr>
        <w:t>A panel including independent external experts assesses applications and decide on awards. The assessment process may be staged, depending on the number of applications received.</w:t>
      </w:r>
    </w:p>
    <w:p w14:paraId="7EE67D0E" w14:textId="77777777" w:rsidR="007B5028" w:rsidRPr="00494249" w:rsidRDefault="007B5028" w:rsidP="007B5028">
      <w:pPr>
        <w:spacing w:after="0"/>
        <w:rPr>
          <w:lang w:val="en-GB"/>
        </w:rPr>
      </w:pPr>
    </w:p>
    <w:p w14:paraId="6B587519" w14:textId="77777777" w:rsidR="007B5028" w:rsidRPr="00494249" w:rsidRDefault="007B5028" w:rsidP="007B5028">
      <w:pPr>
        <w:spacing w:after="0"/>
        <w:rPr>
          <w:lang w:val="en-GB"/>
        </w:rPr>
      </w:pPr>
      <w:r w:rsidRPr="00494249">
        <w:rPr>
          <w:lang w:val="en-GB"/>
        </w:rPr>
        <w:t>TIA sends unsuccessful applicants a letter with, if available, feedback on the application.</w:t>
      </w:r>
    </w:p>
    <w:p w14:paraId="3B913964" w14:textId="77777777" w:rsidR="007B5028" w:rsidRPr="00494249" w:rsidRDefault="007B5028" w:rsidP="007B5028">
      <w:pPr>
        <w:spacing w:after="0"/>
        <w:rPr>
          <w:lang w:val="en-GB"/>
        </w:rPr>
      </w:pPr>
    </w:p>
    <w:p w14:paraId="58F735BF" w14:textId="77777777" w:rsidR="00697FA5" w:rsidRDefault="00697FA5" w:rsidP="00697FA5">
      <w:pPr>
        <w:spacing w:after="0"/>
        <w:rPr>
          <w:lang w:val="en-GB"/>
        </w:rPr>
      </w:pPr>
      <w:r w:rsidRPr="005F511D">
        <w:rPr>
          <w:lang w:val="en-GB"/>
        </w:rPr>
        <w:t xml:space="preserve">TIA sends </w:t>
      </w:r>
      <w:r>
        <w:rPr>
          <w:lang w:val="en-GB"/>
        </w:rPr>
        <w:t xml:space="preserve">successful </w:t>
      </w:r>
      <w:r w:rsidRPr="005F511D">
        <w:rPr>
          <w:lang w:val="en-GB"/>
        </w:rPr>
        <w:t>Applicant</w:t>
      </w:r>
      <w:r>
        <w:rPr>
          <w:lang w:val="en-GB"/>
        </w:rPr>
        <w:t>s</w:t>
      </w:r>
      <w:r w:rsidRPr="005F511D">
        <w:rPr>
          <w:lang w:val="en-GB"/>
        </w:rPr>
        <w:t xml:space="preserve"> a </w:t>
      </w:r>
      <w:r w:rsidRPr="00F8328F">
        <w:rPr>
          <w:b/>
          <w:bCs/>
          <w:lang w:val="en-GB"/>
        </w:rPr>
        <w:t>Letter of Offer</w:t>
      </w:r>
      <w:r>
        <w:rPr>
          <w:lang w:val="en-GB"/>
        </w:rPr>
        <w:t>, cc: the specified Provider</w:t>
      </w:r>
      <w:r w:rsidRPr="005F511D">
        <w:rPr>
          <w:lang w:val="en-GB"/>
        </w:rPr>
        <w:t xml:space="preserve">. </w:t>
      </w:r>
      <w:r>
        <w:rPr>
          <w:lang w:val="en-GB"/>
        </w:rPr>
        <w:t xml:space="preserve">This letter </w:t>
      </w:r>
      <w:r w:rsidRPr="005F511D">
        <w:rPr>
          <w:lang w:val="en-GB"/>
        </w:rPr>
        <w:t>includes</w:t>
      </w:r>
      <w:r>
        <w:rPr>
          <w:lang w:val="en-GB"/>
        </w:rPr>
        <w:t xml:space="preserve"> the o</w:t>
      </w:r>
      <w:r w:rsidRPr="005F511D">
        <w:rPr>
          <w:lang w:val="en-GB"/>
        </w:rPr>
        <w:t>bligations o</w:t>
      </w:r>
      <w:r>
        <w:rPr>
          <w:lang w:val="en-GB"/>
        </w:rPr>
        <w:t>f</w:t>
      </w:r>
      <w:r w:rsidRPr="005F511D">
        <w:rPr>
          <w:lang w:val="en-GB"/>
        </w:rPr>
        <w:t xml:space="preserve"> </w:t>
      </w:r>
      <w:r>
        <w:rPr>
          <w:lang w:val="en-GB"/>
        </w:rPr>
        <w:t xml:space="preserve">TIA, </w:t>
      </w:r>
      <w:r w:rsidRPr="005F511D">
        <w:rPr>
          <w:lang w:val="en-GB"/>
        </w:rPr>
        <w:t xml:space="preserve">Applicant and </w:t>
      </w:r>
      <w:r>
        <w:rPr>
          <w:lang w:val="en-GB"/>
        </w:rPr>
        <w:t>Provider as follows:</w:t>
      </w:r>
    </w:p>
    <w:p w14:paraId="3238F5B1" w14:textId="7234910D" w:rsidR="00492141" w:rsidRDefault="00492141">
      <w:pPr>
        <w:spacing w:after="0"/>
        <w:rPr>
          <w:lang w:val="en-GB"/>
        </w:rPr>
      </w:pPr>
    </w:p>
    <w:p w14:paraId="59E6138D" w14:textId="2EA63546" w:rsidR="007B5028" w:rsidRDefault="007B5028" w:rsidP="007B5028">
      <w:pPr>
        <w:rPr>
          <w:b/>
          <w:lang w:val="en-GB"/>
        </w:rPr>
      </w:pPr>
      <w:r w:rsidRPr="00494249">
        <w:rPr>
          <w:b/>
          <w:lang w:val="en-GB"/>
        </w:rPr>
        <w:t>TIA must:</w:t>
      </w:r>
    </w:p>
    <w:p w14:paraId="6A88E090" w14:textId="77777777" w:rsidR="007B5028" w:rsidRPr="00494249" w:rsidRDefault="007B5028" w:rsidP="007B5028">
      <w:pPr>
        <w:pStyle w:val="ListParagraph"/>
        <w:numPr>
          <w:ilvl w:val="0"/>
          <w:numId w:val="14"/>
        </w:numPr>
        <w:rPr>
          <w:b/>
          <w:lang w:val="en-GB"/>
        </w:rPr>
      </w:pPr>
      <w:r w:rsidRPr="00494249">
        <w:rPr>
          <w:lang w:val="en-GB"/>
        </w:rPr>
        <w:lastRenderedPageBreak/>
        <w:t>pay invoices submitted by the named Provider totalling either $10,000 ex GST, $20,000 ex GST or $50,000 ex GST (depending on the voucher value) should the Applicant and Provider meet certain obligations to the satisfaction of TIA (see below). </w:t>
      </w:r>
    </w:p>
    <w:p w14:paraId="201BD413" w14:textId="77777777" w:rsidR="007B5028" w:rsidRPr="00494249" w:rsidRDefault="007B5028" w:rsidP="007B5028">
      <w:pPr>
        <w:pStyle w:val="ListParagraph"/>
        <w:rPr>
          <w:b/>
          <w:lang w:val="en-GB"/>
        </w:rPr>
      </w:pPr>
    </w:p>
    <w:p w14:paraId="66A3959F" w14:textId="77777777" w:rsidR="007B5028" w:rsidRPr="00494249" w:rsidRDefault="007B5028" w:rsidP="007B5028">
      <w:pPr>
        <w:rPr>
          <w:b/>
          <w:lang w:val="en-GB"/>
        </w:rPr>
      </w:pPr>
      <w:r w:rsidRPr="00494249">
        <w:rPr>
          <w:b/>
          <w:lang w:val="en-GB"/>
        </w:rPr>
        <w:t>The Applicant must:</w:t>
      </w:r>
    </w:p>
    <w:p w14:paraId="4F575FF5" w14:textId="77777777" w:rsidR="006E1150" w:rsidRPr="00BE60EB" w:rsidRDefault="006E1150" w:rsidP="006E1150">
      <w:pPr>
        <w:pStyle w:val="ListParagraph"/>
        <w:numPr>
          <w:ilvl w:val="0"/>
          <w:numId w:val="14"/>
        </w:numPr>
        <w:spacing w:after="0"/>
        <w:rPr>
          <w:lang w:val="en-GB"/>
        </w:rPr>
      </w:pPr>
      <w:r w:rsidRPr="00BE60EB">
        <w:rPr>
          <w:lang w:val="en-GB"/>
        </w:rPr>
        <w:t xml:space="preserve">co-sign </w:t>
      </w:r>
      <w:r>
        <w:rPr>
          <w:lang w:val="en-GB"/>
        </w:rPr>
        <w:t xml:space="preserve">with the Provider </w:t>
      </w:r>
      <w:r w:rsidRPr="00BE60EB">
        <w:rPr>
          <w:lang w:val="en-GB"/>
        </w:rPr>
        <w:t>the received letter of offer and return to indicate agreement with the terms</w:t>
      </w:r>
    </w:p>
    <w:p w14:paraId="66091BB5" w14:textId="77777777" w:rsidR="006E1150" w:rsidRPr="00BE60EB" w:rsidRDefault="006E1150" w:rsidP="006E1150">
      <w:pPr>
        <w:pStyle w:val="ListParagraph"/>
        <w:numPr>
          <w:ilvl w:val="0"/>
          <w:numId w:val="14"/>
        </w:numPr>
        <w:rPr>
          <w:lang w:val="en-GB"/>
        </w:rPr>
      </w:pPr>
      <w:r w:rsidRPr="00666F8F">
        <w:rPr>
          <w:lang w:val="en-GB"/>
        </w:rPr>
        <w:t xml:space="preserve">enter into a legally binding agreement with </w:t>
      </w:r>
      <w:r>
        <w:rPr>
          <w:lang w:val="en-GB"/>
        </w:rPr>
        <w:t xml:space="preserve">the </w:t>
      </w:r>
      <w:r w:rsidRPr="00666F8F">
        <w:rPr>
          <w:lang w:val="en-GB"/>
        </w:rPr>
        <w:t>Provider</w:t>
      </w:r>
      <w:r>
        <w:rPr>
          <w:lang w:val="en-GB"/>
        </w:rPr>
        <w:t xml:space="preserve"> (</w:t>
      </w:r>
      <w:r w:rsidRPr="009A5D2E">
        <w:rPr>
          <w:b/>
          <w:bCs/>
          <w:u w:val="single"/>
          <w:lang w:val="en-GB"/>
        </w:rPr>
        <w:t>NOT</w:t>
      </w:r>
      <w:r>
        <w:rPr>
          <w:lang w:val="en-GB"/>
        </w:rPr>
        <w:t xml:space="preserve"> with TIA) to provide payment for access to capabilities specified in the Application</w:t>
      </w:r>
      <w:r w:rsidRPr="00666F8F">
        <w:rPr>
          <w:lang w:val="en-GB"/>
        </w:rPr>
        <w:t xml:space="preserve"> (</w:t>
      </w:r>
      <w:r w:rsidRPr="00BE60EB">
        <w:rPr>
          <w:i/>
          <w:lang w:val="en-GB"/>
        </w:rPr>
        <w:t>note</w:t>
      </w:r>
      <w:r w:rsidRPr="00666F8F">
        <w:rPr>
          <w:lang w:val="en-GB"/>
        </w:rPr>
        <w:t xml:space="preserve">: TIA </w:t>
      </w:r>
      <w:r>
        <w:rPr>
          <w:lang w:val="en-GB"/>
        </w:rPr>
        <w:t xml:space="preserve">does not require sight of </w:t>
      </w:r>
      <w:r w:rsidRPr="00666F8F">
        <w:rPr>
          <w:lang w:val="en-GB"/>
        </w:rPr>
        <w:t>the contract</w:t>
      </w:r>
      <w:r>
        <w:rPr>
          <w:lang w:val="en-GB"/>
        </w:rPr>
        <w:t>, but requires written confirmation that such a contract exists in the Letter of Commencement</w:t>
      </w:r>
      <w:r w:rsidRPr="00666F8F">
        <w:rPr>
          <w:lang w:val="en-GB"/>
        </w:rPr>
        <w:t>)</w:t>
      </w:r>
    </w:p>
    <w:p w14:paraId="0678E991" w14:textId="77777777" w:rsidR="006E1150" w:rsidRPr="00666F8F" w:rsidRDefault="006E1150" w:rsidP="006E1150">
      <w:pPr>
        <w:pStyle w:val="ListParagraph"/>
        <w:numPr>
          <w:ilvl w:val="0"/>
          <w:numId w:val="14"/>
        </w:numPr>
        <w:rPr>
          <w:lang w:val="en-GB"/>
        </w:rPr>
      </w:pPr>
      <w:r>
        <w:rPr>
          <w:lang w:val="en-GB"/>
        </w:rPr>
        <w:t xml:space="preserve">co-sign a </w:t>
      </w:r>
      <w:r w:rsidRPr="00455759">
        <w:rPr>
          <w:b/>
          <w:bCs/>
          <w:lang w:val="en-GB"/>
        </w:rPr>
        <w:t>Letter of Commencement</w:t>
      </w:r>
      <w:r>
        <w:rPr>
          <w:lang w:val="en-GB"/>
        </w:rPr>
        <w:t xml:space="preserve"> with the Provider, confirming that work has commenced. A template Letter of Commencement is available for download on the scheme’s </w:t>
      </w:r>
      <w:hyperlink r:id="rId42" w:history="1">
        <w:r w:rsidRPr="00B9731E">
          <w:rPr>
            <w:rStyle w:val="Hyperlink"/>
            <w:lang w:val="en-GB"/>
          </w:rPr>
          <w:t>webpage</w:t>
        </w:r>
      </w:hyperlink>
      <w:r>
        <w:rPr>
          <w:lang w:val="en-GB"/>
        </w:rPr>
        <w:t>.</w:t>
      </w:r>
    </w:p>
    <w:p w14:paraId="67A507FC" w14:textId="77777777" w:rsidR="006E1150" w:rsidRDefault="006E1150" w:rsidP="006E1150">
      <w:pPr>
        <w:pStyle w:val="ListParagraph"/>
        <w:numPr>
          <w:ilvl w:val="0"/>
          <w:numId w:val="14"/>
        </w:numPr>
        <w:rPr>
          <w:lang w:val="en-GB"/>
        </w:rPr>
      </w:pPr>
      <w:r w:rsidRPr="00666F8F">
        <w:rPr>
          <w:lang w:val="en-GB"/>
        </w:rPr>
        <w:t xml:space="preserve">provide brief </w:t>
      </w:r>
      <w:r>
        <w:rPr>
          <w:lang w:val="en-GB"/>
        </w:rPr>
        <w:t xml:space="preserve">(&lt;1 page) </w:t>
      </w:r>
      <w:r w:rsidRPr="00666F8F">
        <w:rPr>
          <w:lang w:val="en-GB"/>
        </w:rPr>
        <w:t xml:space="preserve">reports on project progress according to a reporting schedule </w:t>
      </w:r>
      <w:r>
        <w:rPr>
          <w:lang w:val="en-GB"/>
        </w:rPr>
        <w:t xml:space="preserve">agreed with </w:t>
      </w:r>
      <w:r w:rsidRPr="00666F8F">
        <w:rPr>
          <w:lang w:val="en-GB"/>
        </w:rPr>
        <w:t>TIA</w:t>
      </w:r>
      <w:r>
        <w:rPr>
          <w:lang w:val="en-GB"/>
        </w:rPr>
        <w:t>.</w:t>
      </w:r>
    </w:p>
    <w:p w14:paraId="4130441C" w14:textId="77777777" w:rsidR="006E1150" w:rsidRPr="00666F8F" w:rsidRDefault="006E1150" w:rsidP="006E1150">
      <w:pPr>
        <w:pStyle w:val="ListParagraph"/>
        <w:numPr>
          <w:ilvl w:val="0"/>
          <w:numId w:val="14"/>
        </w:numPr>
        <w:rPr>
          <w:lang w:val="en-GB"/>
        </w:rPr>
      </w:pPr>
      <w:r>
        <w:rPr>
          <w:lang w:val="en-GB"/>
        </w:rPr>
        <w:t xml:space="preserve">provide a </w:t>
      </w:r>
      <w:r w:rsidRPr="00780A7A">
        <w:rPr>
          <w:b/>
          <w:bCs/>
          <w:lang w:val="en-GB"/>
        </w:rPr>
        <w:t>Letter of Completion</w:t>
      </w:r>
      <w:r>
        <w:rPr>
          <w:lang w:val="en-GB"/>
        </w:rPr>
        <w:t xml:space="preserve"> including a brief final report that describes the overall outcomes. A template Letter of Completion is available for download on the scheme’s </w:t>
      </w:r>
      <w:hyperlink r:id="rId43" w:history="1">
        <w:r w:rsidRPr="00B9731E">
          <w:rPr>
            <w:rStyle w:val="Hyperlink"/>
            <w:lang w:val="en-GB"/>
          </w:rPr>
          <w:t>webpage</w:t>
        </w:r>
      </w:hyperlink>
      <w:r>
        <w:rPr>
          <w:lang w:val="en-GB"/>
        </w:rPr>
        <w:t>.</w:t>
      </w:r>
    </w:p>
    <w:p w14:paraId="69B9504F" w14:textId="77777777" w:rsidR="007B5028" w:rsidRPr="00494249" w:rsidRDefault="007B5028" w:rsidP="007B5028">
      <w:pPr>
        <w:pStyle w:val="ListParagraph"/>
        <w:rPr>
          <w:b/>
          <w:lang w:val="en-GB"/>
        </w:rPr>
      </w:pPr>
    </w:p>
    <w:p w14:paraId="054ADD64" w14:textId="77777777" w:rsidR="007B5028" w:rsidRPr="00494249" w:rsidRDefault="007B5028" w:rsidP="007B5028">
      <w:pPr>
        <w:rPr>
          <w:b/>
          <w:lang w:val="en-GB"/>
        </w:rPr>
      </w:pPr>
      <w:r w:rsidRPr="00494249">
        <w:rPr>
          <w:b/>
          <w:lang w:val="en-GB"/>
        </w:rPr>
        <w:t>The Provider must:</w:t>
      </w:r>
    </w:p>
    <w:p w14:paraId="2A3D5F88" w14:textId="77777777" w:rsidR="00FA4B8A" w:rsidRPr="00BE60EB" w:rsidRDefault="00FA4B8A" w:rsidP="00FA4B8A">
      <w:pPr>
        <w:pStyle w:val="ListParagraph"/>
        <w:numPr>
          <w:ilvl w:val="0"/>
          <w:numId w:val="14"/>
        </w:numPr>
        <w:spacing w:after="0"/>
        <w:rPr>
          <w:lang w:val="en-GB"/>
        </w:rPr>
      </w:pPr>
      <w:r w:rsidRPr="00BE60EB">
        <w:rPr>
          <w:lang w:val="en-GB"/>
        </w:rPr>
        <w:t xml:space="preserve">co-sign </w:t>
      </w:r>
      <w:r>
        <w:rPr>
          <w:lang w:val="en-GB"/>
        </w:rPr>
        <w:t xml:space="preserve">with the Applicant </w:t>
      </w:r>
      <w:r w:rsidRPr="00BE60EB">
        <w:rPr>
          <w:lang w:val="en-GB"/>
        </w:rPr>
        <w:t>the received letter of offer and return to indicate agreement with the terms</w:t>
      </w:r>
      <w:r>
        <w:rPr>
          <w:lang w:val="en-GB"/>
        </w:rPr>
        <w:t>.</w:t>
      </w:r>
    </w:p>
    <w:p w14:paraId="0F86A67F" w14:textId="77777777" w:rsidR="00FA4B8A" w:rsidRDefault="00FA4B8A" w:rsidP="00FA4B8A">
      <w:pPr>
        <w:pStyle w:val="ListParagraph"/>
        <w:numPr>
          <w:ilvl w:val="0"/>
          <w:numId w:val="14"/>
        </w:numPr>
        <w:rPr>
          <w:lang w:val="en-GB"/>
        </w:rPr>
      </w:pPr>
      <w:r w:rsidRPr="00666F8F">
        <w:rPr>
          <w:lang w:val="en-GB"/>
        </w:rPr>
        <w:t xml:space="preserve">enter into a legally binding agreement with </w:t>
      </w:r>
      <w:r>
        <w:rPr>
          <w:lang w:val="en-GB"/>
        </w:rPr>
        <w:t xml:space="preserve">the </w:t>
      </w:r>
      <w:r w:rsidRPr="00666F8F">
        <w:rPr>
          <w:lang w:val="en-GB"/>
        </w:rPr>
        <w:t xml:space="preserve">Applicant </w:t>
      </w:r>
      <w:r>
        <w:rPr>
          <w:lang w:val="en-GB"/>
        </w:rPr>
        <w:t>(</w:t>
      </w:r>
      <w:r w:rsidRPr="009A5D2E">
        <w:rPr>
          <w:b/>
          <w:bCs/>
          <w:u w:val="single"/>
          <w:lang w:val="en-GB"/>
        </w:rPr>
        <w:t>NOT</w:t>
      </w:r>
      <w:r>
        <w:rPr>
          <w:lang w:val="en-GB"/>
        </w:rPr>
        <w:t xml:space="preserve"> with TIA) </w:t>
      </w:r>
      <w:r w:rsidRPr="00666F8F">
        <w:rPr>
          <w:lang w:val="en-GB"/>
        </w:rPr>
        <w:t>to provide specific capabilities in exchange for payment</w:t>
      </w:r>
      <w:r>
        <w:rPr>
          <w:lang w:val="en-GB"/>
        </w:rPr>
        <w:t>. The final quoted cost should include subsidy from the awarded voucher.</w:t>
      </w:r>
    </w:p>
    <w:p w14:paraId="3BAE118E" w14:textId="77777777" w:rsidR="00FA4B8A" w:rsidRPr="00666F8F" w:rsidRDefault="00FA4B8A" w:rsidP="00FA4B8A">
      <w:pPr>
        <w:pStyle w:val="ListParagraph"/>
        <w:numPr>
          <w:ilvl w:val="0"/>
          <w:numId w:val="14"/>
        </w:numPr>
        <w:rPr>
          <w:lang w:val="en-GB"/>
        </w:rPr>
      </w:pPr>
      <w:r>
        <w:rPr>
          <w:lang w:val="en-GB"/>
        </w:rPr>
        <w:t xml:space="preserve">co-sign a </w:t>
      </w:r>
      <w:r w:rsidRPr="00455759">
        <w:rPr>
          <w:b/>
          <w:bCs/>
          <w:lang w:val="en-GB"/>
        </w:rPr>
        <w:t>Letter of Commencement</w:t>
      </w:r>
      <w:r>
        <w:rPr>
          <w:lang w:val="en-GB"/>
        </w:rPr>
        <w:t xml:space="preserve"> and a </w:t>
      </w:r>
      <w:r w:rsidRPr="00D1299D">
        <w:rPr>
          <w:b/>
          <w:bCs/>
          <w:lang w:val="en-GB"/>
        </w:rPr>
        <w:t>Letter of Completion</w:t>
      </w:r>
      <w:r>
        <w:rPr>
          <w:lang w:val="en-GB"/>
        </w:rPr>
        <w:t xml:space="preserve"> with the Applicant, as described above.</w:t>
      </w:r>
    </w:p>
    <w:p w14:paraId="1FE45000" w14:textId="77777777" w:rsidR="00FA4B8A" w:rsidRPr="00A3604A" w:rsidRDefault="00FA4B8A" w:rsidP="00FA4B8A">
      <w:pPr>
        <w:pStyle w:val="ListParagraph"/>
        <w:numPr>
          <w:ilvl w:val="0"/>
          <w:numId w:val="14"/>
        </w:numPr>
        <w:spacing w:after="0"/>
        <w:rPr>
          <w:lang w:val="en-GB"/>
        </w:rPr>
      </w:pPr>
      <w:r w:rsidRPr="00A3604A">
        <w:rPr>
          <w:lang w:val="en-GB"/>
        </w:rPr>
        <w:t xml:space="preserve">Ordinarily, TIA would expect the project to commence within </w:t>
      </w:r>
      <w:r>
        <w:rPr>
          <w:u w:val="single"/>
          <w:lang w:val="en-GB"/>
        </w:rPr>
        <w:t>6</w:t>
      </w:r>
      <w:r w:rsidRPr="00A3604A">
        <w:rPr>
          <w:u w:val="single"/>
          <w:lang w:val="en-GB"/>
        </w:rPr>
        <w:t xml:space="preserve"> month</w:t>
      </w:r>
      <w:r w:rsidRPr="00A3604A">
        <w:rPr>
          <w:lang w:val="en-GB"/>
        </w:rPr>
        <w:t xml:space="preserve">s of award of the voucher. Because of the nature of this scheme, </w:t>
      </w:r>
      <w:r w:rsidRPr="00A3604A">
        <w:rPr>
          <w:b/>
          <w:bCs/>
          <w:i/>
          <w:iCs/>
          <w:lang w:val="en-GB"/>
        </w:rPr>
        <w:t xml:space="preserve">offers may be withdrawn if projects do not commence within </w:t>
      </w:r>
      <w:r>
        <w:rPr>
          <w:b/>
          <w:bCs/>
          <w:i/>
          <w:iCs/>
          <w:lang w:val="en-GB"/>
        </w:rPr>
        <w:t>six</w:t>
      </w:r>
      <w:r w:rsidRPr="00A3604A">
        <w:rPr>
          <w:b/>
          <w:bCs/>
          <w:i/>
          <w:iCs/>
          <w:lang w:val="en-GB"/>
        </w:rPr>
        <w:t xml:space="preserve"> months of award without a reasonable explanation</w:t>
      </w:r>
      <w:r w:rsidRPr="00A3604A">
        <w:rPr>
          <w:lang w:val="en-GB"/>
        </w:rPr>
        <w:t>.</w:t>
      </w:r>
    </w:p>
    <w:p w14:paraId="14DDDA8E" w14:textId="77777777" w:rsidR="00FA4B8A" w:rsidRDefault="00FA4B8A" w:rsidP="00FA4B8A">
      <w:pPr>
        <w:pStyle w:val="ListParagraph"/>
        <w:numPr>
          <w:ilvl w:val="0"/>
          <w:numId w:val="14"/>
        </w:numPr>
        <w:spacing w:after="0"/>
        <w:rPr>
          <w:lang w:val="en-GB"/>
        </w:rPr>
      </w:pPr>
      <w:r>
        <w:rPr>
          <w:lang w:val="en-GB"/>
        </w:rPr>
        <w:t>submit</w:t>
      </w:r>
      <w:r w:rsidRPr="00BE60EB">
        <w:rPr>
          <w:lang w:val="en-GB"/>
        </w:rPr>
        <w:t xml:space="preserve"> </w:t>
      </w:r>
      <w:r>
        <w:rPr>
          <w:lang w:val="en-GB"/>
        </w:rPr>
        <w:t xml:space="preserve">an </w:t>
      </w:r>
      <w:r w:rsidRPr="00BE60EB">
        <w:rPr>
          <w:lang w:val="en-GB"/>
        </w:rPr>
        <w:t>invoice to TIA for part-reimbursement for the services as described in the quotation</w:t>
      </w:r>
      <w:r>
        <w:rPr>
          <w:lang w:val="en-GB"/>
        </w:rPr>
        <w:t xml:space="preserve"> to the value of the awarded voucher</w:t>
      </w:r>
      <w:r w:rsidRPr="00BE60EB">
        <w:rPr>
          <w:lang w:val="en-GB"/>
        </w:rPr>
        <w:t>.</w:t>
      </w:r>
    </w:p>
    <w:p w14:paraId="1E16492A" w14:textId="77777777" w:rsidR="00FA4B8A" w:rsidRPr="00666F8F" w:rsidRDefault="00FA4B8A" w:rsidP="00FA4B8A">
      <w:pPr>
        <w:pStyle w:val="ListParagraph"/>
        <w:numPr>
          <w:ilvl w:val="0"/>
          <w:numId w:val="14"/>
        </w:numPr>
        <w:rPr>
          <w:lang w:val="en-GB"/>
        </w:rPr>
      </w:pPr>
      <w:r w:rsidRPr="00666F8F">
        <w:rPr>
          <w:lang w:val="en-GB"/>
        </w:rPr>
        <w:t xml:space="preserve">provide the services </w:t>
      </w:r>
      <w:r>
        <w:rPr>
          <w:lang w:val="en-GB"/>
        </w:rPr>
        <w:t>as described in the</w:t>
      </w:r>
      <w:r w:rsidRPr="00666F8F">
        <w:rPr>
          <w:lang w:val="en-GB"/>
        </w:rPr>
        <w:t xml:space="preserve"> quotation</w:t>
      </w:r>
      <w:r>
        <w:rPr>
          <w:lang w:val="en-GB"/>
        </w:rPr>
        <w:t xml:space="preserve"> within an agreed time window.</w:t>
      </w:r>
    </w:p>
    <w:p w14:paraId="0676F131" w14:textId="77777777" w:rsidR="007B5028" w:rsidRPr="00494249" w:rsidRDefault="007B5028" w:rsidP="007B5028">
      <w:pPr>
        <w:spacing w:after="0"/>
        <w:rPr>
          <w:lang w:val="en-GB"/>
        </w:rPr>
      </w:pPr>
    </w:p>
    <w:p w14:paraId="1C0F9E46" w14:textId="77777777" w:rsidR="007B5028" w:rsidRPr="00494249" w:rsidRDefault="007B5028" w:rsidP="007B5028">
      <w:pPr>
        <w:pStyle w:val="ListParagraph"/>
        <w:keepNext/>
        <w:numPr>
          <w:ilvl w:val="0"/>
          <w:numId w:val="16"/>
        </w:numPr>
        <w:ind w:left="714" w:hanging="357"/>
        <w:rPr>
          <w:b/>
          <w:i/>
          <w:sz w:val="28"/>
          <w:szCs w:val="28"/>
          <w:lang w:val="en-GB"/>
        </w:rPr>
      </w:pPr>
      <w:r w:rsidRPr="00494249">
        <w:rPr>
          <w:b/>
          <w:i/>
          <w:sz w:val="28"/>
          <w:szCs w:val="28"/>
          <w:lang w:val="en-GB"/>
        </w:rPr>
        <w:t>Project commences</w:t>
      </w:r>
    </w:p>
    <w:p w14:paraId="5CE2081E" w14:textId="77777777" w:rsidR="007B5028" w:rsidRPr="00494249" w:rsidRDefault="007B5028" w:rsidP="007B5028">
      <w:pPr>
        <w:spacing w:after="0"/>
        <w:rPr>
          <w:lang w:val="en-GB"/>
        </w:rPr>
      </w:pPr>
      <w:r w:rsidRPr="00494249">
        <w:rPr>
          <w:lang w:val="en-GB"/>
        </w:rPr>
        <w:t xml:space="preserve">Once Project has commenced, Provider is directly reimbursed by TIA according to the following conditions: </w:t>
      </w:r>
    </w:p>
    <w:p w14:paraId="665E50D8" w14:textId="77777777" w:rsidR="007B5028" w:rsidRPr="00494249" w:rsidRDefault="007B5028" w:rsidP="007B5028">
      <w:pPr>
        <w:numPr>
          <w:ilvl w:val="0"/>
          <w:numId w:val="15"/>
        </w:numPr>
        <w:spacing w:after="0"/>
        <w:rPr>
          <w:lang w:val="en-GB"/>
        </w:rPr>
      </w:pPr>
      <w:r w:rsidRPr="00494249">
        <w:rPr>
          <w:lang w:val="en-GB"/>
        </w:rPr>
        <w:t xml:space="preserve">The Provider has sent </w:t>
      </w:r>
      <w:r w:rsidRPr="00494249">
        <w:rPr>
          <w:color w:val="000000" w:themeColor="text1"/>
          <w:lang w:val="en-GB"/>
        </w:rPr>
        <w:t xml:space="preserve">to TIA a copy of a proper invoice for the awarded voucher value + GST, that references the Project and the </w:t>
      </w:r>
      <w:r w:rsidRPr="00494249">
        <w:rPr>
          <w:lang w:val="en-GB"/>
        </w:rPr>
        <w:t>Applicant</w:t>
      </w:r>
    </w:p>
    <w:p w14:paraId="4B506887" w14:textId="77777777" w:rsidR="007B5028" w:rsidRPr="00494249" w:rsidRDefault="007B5028" w:rsidP="007B5028">
      <w:pPr>
        <w:numPr>
          <w:ilvl w:val="0"/>
          <w:numId w:val="15"/>
        </w:numPr>
        <w:spacing w:after="0"/>
        <w:rPr>
          <w:lang w:val="en-GB"/>
        </w:rPr>
      </w:pPr>
      <w:r w:rsidRPr="00494249">
        <w:rPr>
          <w:lang w:val="en-GB"/>
        </w:rPr>
        <w:t>The Invoice must have extended payment terms (60 days) to allow TIA to assess whether payment conditions have been met</w:t>
      </w:r>
    </w:p>
    <w:p w14:paraId="66C6D8C2" w14:textId="77777777" w:rsidR="007B5028" w:rsidRPr="00494249" w:rsidRDefault="007B5028" w:rsidP="007B5028">
      <w:pPr>
        <w:numPr>
          <w:ilvl w:val="0"/>
          <w:numId w:val="15"/>
        </w:numPr>
        <w:spacing w:after="0"/>
        <w:rPr>
          <w:lang w:val="en-GB"/>
        </w:rPr>
      </w:pPr>
      <w:r w:rsidRPr="00494249">
        <w:rPr>
          <w:lang w:val="en-GB"/>
        </w:rPr>
        <w:t xml:space="preserve">The Invoice accompanies </w:t>
      </w:r>
      <w:r w:rsidRPr="00494249">
        <w:rPr>
          <w:b/>
          <w:bCs/>
          <w:lang w:val="en-GB"/>
        </w:rPr>
        <w:t xml:space="preserve">written notice </w:t>
      </w:r>
      <w:r w:rsidRPr="00494249">
        <w:rPr>
          <w:lang w:val="en-GB"/>
        </w:rPr>
        <w:t xml:space="preserve">that the services have commenced. This proof shall be a TIA-provided template </w:t>
      </w:r>
      <w:r w:rsidRPr="00494249">
        <w:rPr>
          <w:b/>
          <w:lang w:val="en-GB"/>
        </w:rPr>
        <w:t>Letter of Commencement</w:t>
      </w:r>
      <w:r w:rsidRPr="00494249">
        <w:rPr>
          <w:lang w:val="en-GB"/>
        </w:rPr>
        <w:t xml:space="preserve"> from the Applicant (counter-signed by the Provider) stating that the services have begun, and briefly outlining the capabilities being provided.</w:t>
      </w:r>
    </w:p>
    <w:p w14:paraId="757682E2" w14:textId="77777777" w:rsidR="007B5028" w:rsidRPr="00494249" w:rsidRDefault="007B5028" w:rsidP="007B5028">
      <w:pPr>
        <w:spacing w:after="0"/>
        <w:rPr>
          <w:lang w:val="en-GB"/>
        </w:rPr>
      </w:pPr>
    </w:p>
    <w:p w14:paraId="5E881455" w14:textId="77777777" w:rsidR="007B5028" w:rsidRPr="00494249" w:rsidRDefault="007B5028" w:rsidP="007B5028">
      <w:pPr>
        <w:spacing w:after="0"/>
        <w:rPr>
          <w:lang w:val="en-GB"/>
        </w:rPr>
      </w:pPr>
      <w:r w:rsidRPr="00494249">
        <w:rPr>
          <w:lang w:val="en-GB"/>
        </w:rPr>
        <w:t>Note:</w:t>
      </w:r>
    </w:p>
    <w:p w14:paraId="677704CD" w14:textId="77777777" w:rsidR="00646F35" w:rsidRDefault="00646F35" w:rsidP="00646F35">
      <w:pPr>
        <w:pStyle w:val="ListParagraph"/>
        <w:numPr>
          <w:ilvl w:val="0"/>
          <w:numId w:val="19"/>
        </w:numPr>
        <w:spacing w:after="0"/>
        <w:rPr>
          <w:lang w:val="en-GB"/>
        </w:rPr>
      </w:pPr>
      <w:r w:rsidRPr="00D636CC">
        <w:rPr>
          <w:lang w:val="en-GB"/>
        </w:rPr>
        <w:t>T</w:t>
      </w:r>
      <w:r>
        <w:rPr>
          <w:lang w:val="en-GB"/>
        </w:rPr>
        <w:t xml:space="preserve">he voucher awarded is </w:t>
      </w:r>
      <w:r w:rsidRPr="00D636CC">
        <w:rPr>
          <w:b/>
          <w:bCs/>
          <w:lang w:val="en-GB"/>
        </w:rPr>
        <w:t>not transferable</w:t>
      </w:r>
      <w:r>
        <w:rPr>
          <w:b/>
          <w:bCs/>
          <w:lang w:val="en-GB"/>
        </w:rPr>
        <w:t xml:space="preserve"> </w:t>
      </w:r>
      <w:r w:rsidRPr="00771EEA">
        <w:rPr>
          <w:lang w:val="en-GB"/>
        </w:rPr>
        <w:t>to</w:t>
      </w:r>
      <w:r>
        <w:rPr>
          <w:lang w:val="en-GB"/>
        </w:rPr>
        <w:t xml:space="preserve"> another project.</w:t>
      </w:r>
    </w:p>
    <w:p w14:paraId="5C002B53" w14:textId="77777777" w:rsidR="00646F35" w:rsidRPr="00D636CC" w:rsidRDefault="00646F35" w:rsidP="00646F35">
      <w:pPr>
        <w:pStyle w:val="ListParagraph"/>
        <w:numPr>
          <w:ilvl w:val="0"/>
          <w:numId w:val="19"/>
        </w:numPr>
        <w:spacing w:after="0"/>
        <w:rPr>
          <w:lang w:val="en-GB"/>
        </w:rPr>
      </w:pPr>
      <w:r w:rsidRPr="00D636CC">
        <w:rPr>
          <w:lang w:val="en-GB"/>
        </w:rPr>
        <w:lastRenderedPageBreak/>
        <w:t xml:space="preserve">TIA </w:t>
      </w:r>
      <w:r w:rsidRPr="00D636CC">
        <w:rPr>
          <w:b/>
          <w:bCs/>
          <w:lang w:val="en-GB"/>
        </w:rPr>
        <w:t>does not</w:t>
      </w:r>
      <w:r w:rsidRPr="00D636CC">
        <w:rPr>
          <w:lang w:val="en-GB"/>
        </w:rPr>
        <w:t xml:space="preserve"> need to see the agreement between Provider and Applicant. </w:t>
      </w:r>
    </w:p>
    <w:p w14:paraId="0D8AFCDA" w14:textId="6BAE89B5" w:rsidR="00646F35" w:rsidRPr="00A3604A" w:rsidRDefault="00646F35" w:rsidP="00646F35">
      <w:pPr>
        <w:pStyle w:val="ListParagraph"/>
        <w:numPr>
          <w:ilvl w:val="0"/>
          <w:numId w:val="19"/>
        </w:numPr>
        <w:spacing w:after="0"/>
        <w:rPr>
          <w:lang w:val="en-GB"/>
        </w:rPr>
      </w:pPr>
      <w:r w:rsidRPr="00A3604A">
        <w:rPr>
          <w:lang w:val="en-GB"/>
        </w:rPr>
        <w:t xml:space="preserve">TIA </w:t>
      </w:r>
      <w:r w:rsidRPr="00A3604A">
        <w:rPr>
          <w:b/>
          <w:bCs/>
          <w:lang w:val="en-GB"/>
        </w:rPr>
        <w:t xml:space="preserve">does not </w:t>
      </w:r>
      <w:r w:rsidRPr="00A3604A">
        <w:rPr>
          <w:bCs/>
          <w:lang w:val="en-GB"/>
        </w:rPr>
        <w:t>seek</w:t>
      </w:r>
      <w:r w:rsidRPr="00A3604A">
        <w:rPr>
          <w:lang w:val="en-GB"/>
        </w:rPr>
        <w:t> any ownership or beneficial interest in supported projects but reserves the right to receive brief project updates</w:t>
      </w:r>
      <w:r>
        <w:rPr>
          <w:lang w:val="en-GB"/>
        </w:rPr>
        <w:t xml:space="preserve"> (~1/2 page)</w:t>
      </w:r>
      <w:r w:rsidRPr="00A3604A">
        <w:rPr>
          <w:lang w:val="en-GB"/>
        </w:rPr>
        <w:t xml:space="preserve"> on request. </w:t>
      </w:r>
    </w:p>
    <w:p w14:paraId="784E9F53" w14:textId="77777777" w:rsidR="00646F35" w:rsidRDefault="00646F35" w:rsidP="00646F35">
      <w:pPr>
        <w:numPr>
          <w:ilvl w:val="0"/>
          <w:numId w:val="19"/>
        </w:numPr>
        <w:spacing w:after="0"/>
        <w:rPr>
          <w:lang w:val="en-GB"/>
        </w:rPr>
      </w:pPr>
      <w:r w:rsidRPr="00D43F1E">
        <w:rPr>
          <w:lang w:val="en-GB"/>
        </w:rPr>
        <w:t xml:space="preserve">In </w:t>
      </w:r>
      <w:r>
        <w:rPr>
          <w:lang w:val="en-GB"/>
        </w:rPr>
        <w:t xml:space="preserve">the event of early termination, the Provider must notify TIA in writing </w:t>
      </w:r>
      <w:r w:rsidRPr="003154B1">
        <w:rPr>
          <w:lang w:val="en-GB"/>
        </w:rPr>
        <w:t xml:space="preserve">at the earliest possible </w:t>
      </w:r>
      <w:r>
        <w:rPr>
          <w:lang w:val="en-GB"/>
        </w:rPr>
        <w:t>opportunity. Depending on the scenario, TIA will advise the Provider on the next steps.</w:t>
      </w:r>
    </w:p>
    <w:p w14:paraId="5FDCDE28" w14:textId="77777777" w:rsidR="007B5028" w:rsidRPr="00494249" w:rsidRDefault="007B5028" w:rsidP="007B5028">
      <w:pPr>
        <w:spacing w:after="0"/>
      </w:pPr>
    </w:p>
    <w:p w14:paraId="3743923A" w14:textId="77777777" w:rsidR="007B5028" w:rsidRPr="00494249" w:rsidRDefault="007B5028" w:rsidP="007B5028">
      <w:pPr>
        <w:pStyle w:val="ListParagraph"/>
        <w:keepNext/>
        <w:keepLines/>
        <w:numPr>
          <w:ilvl w:val="0"/>
          <w:numId w:val="16"/>
        </w:numPr>
        <w:spacing w:after="0"/>
        <w:rPr>
          <w:b/>
          <w:i/>
          <w:sz w:val="28"/>
          <w:szCs w:val="28"/>
          <w:lang w:val="en-GB"/>
        </w:rPr>
      </w:pPr>
      <w:r w:rsidRPr="00494249">
        <w:rPr>
          <w:b/>
          <w:i/>
          <w:sz w:val="28"/>
          <w:szCs w:val="28"/>
          <w:lang w:val="en-GB"/>
        </w:rPr>
        <w:t>Project complete</w:t>
      </w:r>
    </w:p>
    <w:p w14:paraId="364D91EA" w14:textId="77777777" w:rsidR="007B5028" w:rsidRPr="00494249" w:rsidRDefault="007B5028" w:rsidP="007B5028">
      <w:pPr>
        <w:keepNext/>
        <w:keepLines/>
        <w:spacing w:after="0"/>
      </w:pPr>
    </w:p>
    <w:p w14:paraId="58E3857D" w14:textId="77777777" w:rsidR="007B5028" w:rsidRPr="00494249" w:rsidRDefault="007B5028" w:rsidP="007B5028">
      <w:pPr>
        <w:keepNext/>
        <w:keepLines/>
        <w:spacing w:after="0"/>
        <w:rPr>
          <w:lang w:val="en-GB"/>
        </w:rPr>
      </w:pPr>
      <w:r w:rsidRPr="00494249">
        <w:t xml:space="preserve">Once the work of the Provider is complete, </w:t>
      </w:r>
      <w:r w:rsidRPr="00494249">
        <w:rPr>
          <w:lang w:val="en-GB"/>
        </w:rPr>
        <w:t xml:space="preserve">Provider and Applicant must meet the following conditions: </w:t>
      </w:r>
    </w:p>
    <w:p w14:paraId="2B84F131" w14:textId="77777777" w:rsidR="007B5028" w:rsidRPr="00494249" w:rsidRDefault="007B5028" w:rsidP="007B5028">
      <w:pPr>
        <w:numPr>
          <w:ilvl w:val="0"/>
          <w:numId w:val="15"/>
        </w:numPr>
        <w:spacing w:after="0"/>
        <w:rPr>
          <w:lang w:val="en-GB"/>
        </w:rPr>
      </w:pPr>
      <w:r w:rsidRPr="00494249">
        <w:rPr>
          <w:lang w:val="en-GB"/>
        </w:rPr>
        <w:t xml:space="preserve">The Applicant and Provider have provided </w:t>
      </w:r>
      <w:r w:rsidRPr="00494249">
        <w:rPr>
          <w:b/>
          <w:bCs/>
          <w:lang w:val="en-GB"/>
        </w:rPr>
        <w:t>written proof</w:t>
      </w:r>
      <w:r w:rsidRPr="00494249">
        <w:rPr>
          <w:lang w:val="en-GB"/>
        </w:rPr>
        <w:t xml:space="preserve"> that the services have completed. This proof shall be a TIA-provided template </w:t>
      </w:r>
      <w:r w:rsidRPr="00494249">
        <w:rPr>
          <w:b/>
          <w:lang w:val="en-GB"/>
        </w:rPr>
        <w:t>Letter of Completion</w:t>
      </w:r>
      <w:r w:rsidRPr="00494249">
        <w:rPr>
          <w:lang w:val="en-GB"/>
        </w:rPr>
        <w:t xml:space="preserve"> from the Applicant (counter-signed by the Provider) describing the capability provided. This template includes instructions for a brief completion report.</w:t>
      </w:r>
    </w:p>
    <w:p w14:paraId="2625A40B" w14:textId="77777777" w:rsidR="007B5028" w:rsidRPr="00494249" w:rsidRDefault="007B5028" w:rsidP="007B5028">
      <w:pPr>
        <w:spacing w:after="0"/>
      </w:pPr>
    </w:p>
    <w:p w14:paraId="0D12F92A" w14:textId="77777777" w:rsidR="007B5028" w:rsidRPr="00494249" w:rsidRDefault="007B5028" w:rsidP="007B5028">
      <w:pPr>
        <w:pStyle w:val="ListParagraph"/>
        <w:keepNext/>
        <w:keepLines/>
        <w:numPr>
          <w:ilvl w:val="0"/>
          <w:numId w:val="16"/>
        </w:numPr>
        <w:spacing w:after="0"/>
        <w:rPr>
          <w:b/>
          <w:i/>
          <w:sz w:val="28"/>
          <w:szCs w:val="28"/>
          <w:lang w:val="en-GB"/>
        </w:rPr>
      </w:pPr>
      <w:r w:rsidRPr="00494249">
        <w:rPr>
          <w:b/>
          <w:i/>
          <w:sz w:val="28"/>
          <w:szCs w:val="28"/>
          <w:lang w:val="en-GB"/>
        </w:rPr>
        <w:t>Acknowledgement of TIA/NCRIS</w:t>
      </w:r>
    </w:p>
    <w:p w14:paraId="2BED7875" w14:textId="77777777" w:rsidR="007B5028" w:rsidRPr="00494249" w:rsidRDefault="007B5028" w:rsidP="007B5028">
      <w:pPr>
        <w:keepNext/>
        <w:keepLines/>
        <w:spacing w:after="0"/>
      </w:pPr>
    </w:p>
    <w:p w14:paraId="5032DCD2" w14:textId="77777777" w:rsidR="007B5028" w:rsidRPr="00494249" w:rsidRDefault="007B5028" w:rsidP="007B5028">
      <w:pPr>
        <w:keepNext/>
        <w:keepLines/>
      </w:pPr>
      <w:r w:rsidRPr="00494249">
        <w:t>Applicants and/or Providers are expected to acknowledge TIA and NCRIS in all publications associated with this work and send publication details to TIA via the following online form:</w:t>
      </w:r>
    </w:p>
    <w:p w14:paraId="4A4E4698" w14:textId="77777777" w:rsidR="007B5028" w:rsidRPr="00494249" w:rsidRDefault="000A4DA2" w:rsidP="007B5028">
      <w:pPr>
        <w:rPr>
          <w:b/>
          <w:bCs/>
        </w:rPr>
      </w:pPr>
      <w:hyperlink r:id="rId44" w:history="1">
        <w:r w:rsidR="007B5028" w:rsidRPr="00494249">
          <w:rPr>
            <w:rStyle w:val="Hyperlink"/>
            <w:b/>
            <w:bCs/>
          </w:rPr>
          <w:t>http://bit.ly/ATRAX-DOI</w:t>
        </w:r>
      </w:hyperlink>
      <w:r w:rsidR="007B5028" w:rsidRPr="00494249">
        <w:rPr>
          <w:b/>
          <w:bCs/>
        </w:rPr>
        <w:t xml:space="preserve"> </w:t>
      </w:r>
    </w:p>
    <w:p w14:paraId="37F71B0C" w14:textId="77777777" w:rsidR="007B5028" w:rsidRPr="00494249" w:rsidRDefault="007B5028" w:rsidP="007B5028">
      <w:r w:rsidRPr="00494249">
        <w:t>Guidance for acknowledging TIA/NCRIS, including use of logos, is available at the following URL:</w:t>
      </w:r>
    </w:p>
    <w:p w14:paraId="1DD56F6E" w14:textId="77777777" w:rsidR="007B5028" w:rsidRPr="00494249" w:rsidRDefault="000A4DA2" w:rsidP="007B5028">
      <w:pPr>
        <w:rPr>
          <w:b/>
          <w:bCs/>
        </w:rPr>
      </w:pPr>
      <w:hyperlink r:id="rId45" w:history="1">
        <w:r w:rsidR="007B5028" w:rsidRPr="00494249">
          <w:rPr>
            <w:rStyle w:val="Hyperlink"/>
            <w:b/>
            <w:bCs/>
          </w:rPr>
          <w:t>http://www.therapeuticinnovation.com.au/acknowledging-tia</w:t>
        </w:r>
      </w:hyperlink>
    </w:p>
    <w:p w14:paraId="2020A129" w14:textId="77777777" w:rsidR="007B5028" w:rsidRPr="00494249" w:rsidRDefault="007B5028" w:rsidP="007B5028">
      <w:pPr>
        <w:pStyle w:val="Heading2"/>
      </w:pPr>
      <w:r w:rsidRPr="00494249">
        <w:t>Scheme timelines</w:t>
      </w:r>
    </w:p>
    <w:tbl>
      <w:tblPr>
        <w:tblStyle w:val="GridTable5Dark-Accent1"/>
        <w:tblW w:w="9209" w:type="dxa"/>
        <w:tblLook w:val="0420" w:firstRow="1" w:lastRow="0" w:firstColumn="0" w:lastColumn="0" w:noHBand="0" w:noVBand="1"/>
      </w:tblPr>
      <w:tblGrid>
        <w:gridCol w:w="5807"/>
        <w:gridCol w:w="3402"/>
      </w:tblGrid>
      <w:tr w:rsidR="007B5028" w:rsidRPr="00494249" w14:paraId="673FBAEB" w14:textId="77777777" w:rsidTr="006F01AB">
        <w:trPr>
          <w:cnfStyle w:val="100000000000" w:firstRow="1" w:lastRow="0" w:firstColumn="0" w:lastColumn="0" w:oddVBand="0" w:evenVBand="0" w:oddHBand="0" w:evenHBand="0" w:firstRowFirstColumn="0" w:firstRowLastColumn="0" w:lastRowFirstColumn="0" w:lastRowLastColumn="0"/>
        </w:trPr>
        <w:tc>
          <w:tcPr>
            <w:tcW w:w="5807" w:type="dxa"/>
          </w:tcPr>
          <w:p w14:paraId="1ED35F57" w14:textId="77777777" w:rsidR="007B5028" w:rsidRPr="00494249" w:rsidRDefault="007B5028" w:rsidP="006F01AB">
            <w:pPr>
              <w:keepNext/>
              <w:keepLines/>
              <w:spacing w:before="60" w:after="60"/>
              <w:rPr>
                <w:lang w:val="en-GB"/>
              </w:rPr>
            </w:pPr>
            <w:r w:rsidRPr="00494249">
              <w:rPr>
                <w:lang w:val="en-GB"/>
              </w:rPr>
              <w:t>Stage</w:t>
            </w:r>
          </w:p>
        </w:tc>
        <w:tc>
          <w:tcPr>
            <w:tcW w:w="3402" w:type="dxa"/>
          </w:tcPr>
          <w:p w14:paraId="2DFD3DFC" w14:textId="77777777" w:rsidR="007B5028" w:rsidRPr="00494249" w:rsidRDefault="007B5028" w:rsidP="006F01AB">
            <w:pPr>
              <w:keepNext/>
              <w:keepLines/>
              <w:spacing w:before="60" w:after="60"/>
              <w:rPr>
                <w:lang w:val="en-GB"/>
              </w:rPr>
            </w:pPr>
            <w:r w:rsidRPr="00494249">
              <w:rPr>
                <w:lang w:val="en-GB"/>
              </w:rPr>
              <w:t>Timeframe</w:t>
            </w:r>
          </w:p>
        </w:tc>
      </w:tr>
      <w:tr w:rsidR="007B5028" w:rsidRPr="00494249" w14:paraId="78460047" w14:textId="77777777" w:rsidTr="006F01AB">
        <w:trPr>
          <w:cnfStyle w:val="000000100000" w:firstRow="0" w:lastRow="0" w:firstColumn="0" w:lastColumn="0" w:oddVBand="0" w:evenVBand="0" w:oddHBand="1" w:evenHBand="0" w:firstRowFirstColumn="0" w:firstRowLastColumn="0" w:lastRowFirstColumn="0" w:lastRowLastColumn="0"/>
        </w:trPr>
        <w:tc>
          <w:tcPr>
            <w:tcW w:w="5807" w:type="dxa"/>
          </w:tcPr>
          <w:p w14:paraId="63F66310" w14:textId="77777777" w:rsidR="007B5028" w:rsidRPr="00494249" w:rsidRDefault="007B5028" w:rsidP="006F01AB">
            <w:pPr>
              <w:keepNext/>
              <w:keepLines/>
              <w:spacing w:before="60" w:after="60"/>
              <w:rPr>
                <w:lang w:val="en-GB"/>
              </w:rPr>
            </w:pPr>
            <w:r w:rsidRPr="00494249">
              <w:rPr>
                <w:lang w:val="en-GB"/>
              </w:rPr>
              <w:t>Scheme opens for applications on the TIA website</w:t>
            </w:r>
          </w:p>
        </w:tc>
        <w:tc>
          <w:tcPr>
            <w:tcW w:w="3402" w:type="dxa"/>
          </w:tcPr>
          <w:p w14:paraId="7E4355F8" w14:textId="77777777" w:rsidR="007B5028" w:rsidRPr="00494249" w:rsidRDefault="007B5028" w:rsidP="006F01AB">
            <w:pPr>
              <w:keepNext/>
              <w:keepLines/>
              <w:spacing w:before="60" w:after="60"/>
              <w:rPr>
                <w:lang w:val="en-GB"/>
              </w:rPr>
            </w:pPr>
            <w:r w:rsidRPr="00494249">
              <w:rPr>
                <w:lang w:val="en-GB"/>
              </w:rPr>
              <w:t>26</w:t>
            </w:r>
            <w:r w:rsidRPr="00494249">
              <w:rPr>
                <w:vertAlign w:val="superscript"/>
                <w:lang w:val="en-GB"/>
              </w:rPr>
              <w:t>th</w:t>
            </w:r>
            <w:r w:rsidRPr="00494249">
              <w:rPr>
                <w:lang w:val="en-GB"/>
              </w:rPr>
              <w:t xml:space="preserve"> Feb 2021</w:t>
            </w:r>
          </w:p>
        </w:tc>
      </w:tr>
      <w:tr w:rsidR="007B5028" w:rsidRPr="00494249" w14:paraId="6333A626" w14:textId="77777777" w:rsidTr="006F01AB">
        <w:tc>
          <w:tcPr>
            <w:tcW w:w="5807" w:type="dxa"/>
          </w:tcPr>
          <w:p w14:paraId="3085A74B" w14:textId="77777777" w:rsidR="007B5028" w:rsidRPr="00494249" w:rsidRDefault="007B5028" w:rsidP="006F01AB">
            <w:pPr>
              <w:keepNext/>
              <w:keepLines/>
              <w:spacing w:before="60" w:after="60"/>
              <w:rPr>
                <w:lang w:val="en-GB"/>
              </w:rPr>
            </w:pPr>
            <w:r w:rsidRPr="00494249">
              <w:rPr>
                <w:lang w:val="en-GB"/>
              </w:rPr>
              <w:t>Scheme closes for applications</w:t>
            </w:r>
          </w:p>
        </w:tc>
        <w:tc>
          <w:tcPr>
            <w:tcW w:w="3402" w:type="dxa"/>
          </w:tcPr>
          <w:p w14:paraId="126FB9B2" w14:textId="77777777" w:rsidR="007B5028" w:rsidRPr="00494249" w:rsidRDefault="007B5028" w:rsidP="006F01AB">
            <w:pPr>
              <w:keepNext/>
              <w:keepLines/>
              <w:spacing w:before="60" w:after="60"/>
              <w:rPr>
                <w:lang w:val="en-GB"/>
              </w:rPr>
            </w:pPr>
            <w:r w:rsidRPr="00494249">
              <w:rPr>
                <w:lang w:val="en-GB"/>
              </w:rPr>
              <w:t>5pm, 30</w:t>
            </w:r>
            <w:r w:rsidRPr="00494249">
              <w:rPr>
                <w:vertAlign w:val="superscript"/>
                <w:lang w:val="en-GB"/>
              </w:rPr>
              <w:t>th</w:t>
            </w:r>
            <w:r w:rsidRPr="00494249">
              <w:rPr>
                <w:lang w:val="en-GB"/>
              </w:rPr>
              <w:t xml:space="preserve"> April 2021</w:t>
            </w:r>
          </w:p>
        </w:tc>
      </w:tr>
      <w:tr w:rsidR="007B5028" w:rsidRPr="00494249" w14:paraId="1C0A6355" w14:textId="77777777" w:rsidTr="006F01AB">
        <w:trPr>
          <w:cnfStyle w:val="000000100000" w:firstRow="0" w:lastRow="0" w:firstColumn="0" w:lastColumn="0" w:oddVBand="0" w:evenVBand="0" w:oddHBand="1" w:evenHBand="0" w:firstRowFirstColumn="0" w:firstRowLastColumn="0" w:lastRowFirstColumn="0" w:lastRowLastColumn="0"/>
        </w:trPr>
        <w:tc>
          <w:tcPr>
            <w:tcW w:w="5807" w:type="dxa"/>
          </w:tcPr>
          <w:p w14:paraId="4F79DA64" w14:textId="77777777" w:rsidR="007B5028" w:rsidRPr="00494249" w:rsidRDefault="007B5028" w:rsidP="006F01AB">
            <w:pPr>
              <w:keepNext/>
              <w:keepLines/>
              <w:spacing w:before="60" w:after="60"/>
              <w:rPr>
                <w:lang w:val="en-GB"/>
              </w:rPr>
            </w:pPr>
            <w:r w:rsidRPr="00494249">
              <w:rPr>
                <w:lang w:val="en-GB"/>
              </w:rPr>
              <w:t>Applications assessed</w:t>
            </w:r>
          </w:p>
        </w:tc>
        <w:tc>
          <w:tcPr>
            <w:tcW w:w="3402" w:type="dxa"/>
          </w:tcPr>
          <w:p w14:paraId="10BC1F53" w14:textId="77777777" w:rsidR="007B5028" w:rsidRPr="00494249" w:rsidRDefault="007B5028" w:rsidP="006F01AB">
            <w:pPr>
              <w:keepNext/>
              <w:keepLines/>
              <w:spacing w:before="60" w:after="60"/>
              <w:rPr>
                <w:lang w:val="en-GB"/>
              </w:rPr>
            </w:pPr>
            <w:r w:rsidRPr="00494249">
              <w:rPr>
                <w:lang w:val="en-GB"/>
              </w:rPr>
              <w:t>Early May 2021</w:t>
            </w:r>
          </w:p>
        </w:tc>
      </w:tr>
      <w:tr w:rsidR="007B5028" w:rsidRPr="00494249" w14:paraId="14243BD3" w14:textId="77777777" w:rsidTr="006F01AB">
        <w:tc>
          <w:tcPr>
            <w:tcW w:w="5807" w:type="dxa"/>
          </w:tcPr>
          <w:p w14:paraId="559185D9" w14:textId="77777777" w:rsidR="007B5028" w:rsidRPr="00494249" w:rsidRDefault="007B5028" w:rsidP="006F01AB">
            <w:pPr>
              <w:keepNext/>
              <w:keepLines/>
              <w:spacing w:before="60" w:after="60"/>
              <w:rPr>
                <w:lang w:val="en-GB"/>
              </w:rPr>
            </w:pPr>
            <w:r w:rsidRPr="00494249">
              <w:rPr>
                <w:lang w:val="en-GB"/>
              </w:rPr>
              <w:t>Awards made</w:t>
            </w:r>
          </w:p>
        </w:tc>
        <w:tc>
          <w:tcPr>
            <w:tcW w:w="3402" w:type="dxa"/>
          </w:tcPr>
          <w:p w14:paraId="4AC8CB18" w14:textId="77777777" w:rsidR="007B5028" w:rsidRPr="00494249" w:rsidRDefault="007B5028" w:rsidP="006F01AB">
            <w:pPr>
              <w:keepNext/>
              <w:keepLines/>
              <w:spacing w:before="60" w:after="60"/>
              <w:rPr>
                <w:lang w:val="en-GB"/>
              </w:rPr>
            </w:pPr>
            <w:r w:rsidRPr="00494249">
              <w:rPr>
                <w:lang w:val="en-GB"/>
              </w:rPr>
              <w:t>Late June 2021</w:t>
            </w:r>
          </w:p>
        </w:tc>
      </w:tr>
      <w:tr w:rsidR="007B5028" w:rsidRPr="00494249" w14:paraId="524DD72C" w14:textId="77777777" w:rsidTr="006F01AB">
        <w:trPr>
          <w:cnfStyle w:val="000000100000" w:firstRow="0" w:lastRow="0" w:firstColumn="0" w:lastColumn="0" w:oddVBand="0" w:evenVBand="0" w:oddHBand="1" w:evenHBand="0" w:firstRowFirstColumn="0" w:firstRowLastColumn="0" w:lastRowFirstColumn="0" w:lastRowLastColumn="0"/>
        </w:trPr>
        <w:tc>
          <w:tcPr>
            <w:tcW w:w="5807" w:type="dxa"/>
          </w:tcPr>
          <w:p w14:paraId="4D17DAE7" w14:textId="77777777" w:rsidR="007B5028" w:rsidRPr="00494249" w:rsidRDefault="007B5028" w:rsidP="006F01AB">
            <w:pPr>
              <w:keepNext/>
              <w:keepLines/>
              <w:spacing w:before="60" w:after="60"/>
              <w:rPr>
                <w:lang w:val="en-GB"/>
              </w:rPr>
            </w:pPr>
            <w:r w:rsidRPr="00494249">
              <w:rPr>
                <w:lang w:val="en-GB"/>
              </w:rPr>
              <w:t>Projects commence</w:t>
            </w:r>
          </w:p>
        </w:tc>
        <w:tc>
          <w:tcPr>
            <w:tcW w:w="3402" w:type="dxa"/>
          </w:tcPr>
          <w:p w14:paraId="2735B42D" w14:textId="6E16F381" w:rsidR="007B5028" w:rsidRPr="00494249" w:rsidRDefault="00C80131" w:rsidP="006F01AB">
            <w:pPr>
              <w:keepNext/>
              <w:keepLines/>
              <w:spacing w:before="60" w:after="60"/>
              <w:rPr>
                <w:lang w:val="en-GB"/>
              </w:rPr>
            </w:pPr>
            <w:r>
              <w:rPr>
                <w:lang w:val="en-GB"/>
              </w:rPr>
              <w:t>From e</w:t>
            </w:r>
            <w:r w:rsidR="007B5028" w:rsidRPr="00494249">
              <w:rPr>
                <w:lang w:val="en-GB"/>
              </w:rPr>
              <w:t>arly July 2021</w:t>
            </w:r>
          </w:p>
        </w:tc>
      </w:tr>
    </w:tbl>
    <w:p w14:paraId="7F09DE10" w14:textId="77777777" w:rsidR="004C5AC2" w:rsidRPr="009A5D2E" w:rsidRDefault="004C5AC2" w:rsidP="004C5AC2">
      <w:pPr>
        <w:keepNext/>
        <w:keepLines/>
        <w:spacing w:after="0"/>
        <w:rPr>
          <w:lang w:val="en-GB"/>
        </w:rPr>
      </w:pPr>
      <w:r>
        <w:rPr>
          <w:lang w:val="en-GB"/>
        </w:rPr>
        <w:t>*Offers may be withdrawn if projects have not commenced within six months without an explanation satisfactory to TIA.</w:t>
      </w:r>
    </w:p>
    <w:p w14:paraId="0F448F00" w14:textId="77777777" w:rsidR="007B5028" w:rsidRPr="00494249" w:rsidRDefault="007B5028" w:rsidP="007B5028">
      <w:pPr>
        <w:keepNext/>
        <w:keepLines/>
        <w:spacing w:after="0"/>
        <w:rPr>
          <w:lang w:val="en-GB"/>
        </w:rPr>
      </w:pPr>
    </w:p>
    <w:p w14:paraId="542EA893" w14:textId="77777777" w:rsidR="007B5028" w:rsidRPr="00494249" w:rsidRDefault="007B5028" w:rsidP="007B5028">
      <w:pPr>
        <w:pStyle w:val="Heading2"/>
      </w:pPr>
      <w:r w:rsidRPr="00494249">
        <w:t>Scheme documents</w:t>
      </w:r>
    </w:p>
    <w:p w14:paraId="1D05E460" w14:textId="6D176991" w:rsidR="007B5028" w:rsidRDefault="007B5028" w:rsidP="007B5028">
      <w:r w:rsidRPr="00494249">
        <w:t xml:space="preserve">These documents make up the Application and reporting package for the </w:t>
      </w:r>
      <w:r w:rsidRPr="00494249">
        <w:rPr>
          <w:b/>
        </w:rPr>
        <w:t>Pipeline Accelerator</w:t>
      </w:r>
      <w:r w:rsidRPr="00494249">
        <w:t xml:space="preserve"> scheme.</w:t>
      </w:r>
    </w:p>
    <w:p w14:paraId="3639D1CB" w14:textId="633224CC" w:rsidR="008F0C5B" w:rsidRDefault="008F0C5B" w:rsidP="007B5028"/>
    <w:p w14:paraId="40C56B14" w14:textId="1464FDF4" w:rsidR="008F0C5B" w:rsidRDefault="008F0C5B" w:rsidP="008F0C5B">
      <w:pPr>
        <w:pStyle w:val="ListParagraph"/>
        <w:numPr>
          <w:ilvl w:val="0"/>
          <w:numId w:val="28"/>
        </w:numPr>
      </w:pPr>
      <w:r>
        <w:t xml:space="preserve">1 Pipeline Accelerator Guidelines 2021-21 Round 2 Screening.docx </w:t>
      </w:r>
      <w:r w:rsidRPr="210B7E85">
        <w:rPr>
          <w:b/>
          <w:bCs/>
        </w:rPr>
        <w:t>(this document)</w:t>
      </w:r>
    </w:p>
    <w:p w14:paraId="70A9A718" w14:textId="7CC7A766" w:rsidR="008F0C5B" w:rsidRDefault="008F0C5B" w:rsidP="008F0C5B">
      <w:pPr>
        <w:pStyle w:val="ListParagraph"/>
        <w:numPr>
          <w:ilvl w:val="0"/>
          <w:numId w:val="28"/>
        </w:numPr>
      </w:pPr>
      <w:r>
        <w:t xml:space="preserve">2 Pipeline Accelerator Application 2021-21 Round 2 Screening.docx </w:t>
      </w:r>
    </w:p>
    <w:p w14:paraId="377C32D7" w14:textId="030BBB8D" w:rsidR="008F0C5B" w:rsidRPr="008F0C5B" w:rsidRDefault="008F0C5B" w:rsidP="008F0C5B">
      <w:pPr>
        <w:pStyle w:val="ListParagraph"/>
        <w:numPr>
          <w:ilvl w:val="0"/>
          <w:numId w:val="28"/>
        </w:numPr>
        <w:rPr>
          <w:b/>
          <w:bCs/>
        </w:rPr>
      </w:pPr>
      <w:r>
        <w:t xml:space="preserve">3 Letter of Commencement template 2020-21 Round 2 Screening.docx </w:t>
      </w:r>
      <w:r w:rsidRPr="008F0C5B">
        <w:rPr>
          <w:b/>
          <w:bCs/>
        </w:rPr>
        <w:t>to accompany initial invoice</w:t>
      </w:r>
    </w:p>
    <w:p w14:paraId="15BA8DF7" w14:textId="24DC019D" w:rsidR="008F0C5B" w:rsidRPr="00494249" w:rsidRDefault="008F0C5B" w:rsidP="008F0C5B">
      <w:pPr>
        <w:pStyle w:val="ListParagraph"/>
        <w:numPr>
          <w:ilvl w:val="0"/>
          <w:numId w:val="28"/>
        </w:numPr>
      </w:pPr>
      <w:r>
        <w:lastRenderedPageBreak/>
        <w:t xml:space="preserve">4 Letter of Completion template 2020-21 Round 2 Screening.docx </w:t>
      </w:r>
      <w:r w:rsidRPr="008F0C5B">
        <w:rPr>
          <w:b/>
          <w:bCs/>
        </w:rPr>
        <w:t>to inform TIA of project completion</w:t>
      </w:r>
    </w:p>
    <w:p w14:paraId="70E02DE0" w14:textId="3009FC58" w:rsidR="00EF470C" w:rsidRPr="00494249" w:rsidRDefault="00EF470C" w:rsidP="008F0C5B">
      <w:pPr>
        <w:pStyle w:val="ListParagraph"/>
        <w:ind w:left="360"/>
      </w:pPr>
    </w:p>
    <w:sectPr w:rsidR="00EF470C" w:rsidRPr="00494249" w:rsidSect="0030314C">
      <w:headerReference w:type="even" r:id="rId46"/>
      <w:headerReference w:type="default" r:id="rId47"/>
      <w:footerReference w:type="default" r:id="rId48"/>
      <w:headerReference w:type="first" r:id="rId49"/>
      <w:type w:val="continuous"/>
      <w:pgSz w:w="11900" w:h="16840"/>
      <w:pgMar w:top="1342" w:right="1440" w:bottom="1440"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55CA" w14:textId="77777777" w:rsidR="00C84C79" w:rsidRDefault="00C84C79" w:rsidP="00A43705">
      <w:r>
        <w:separator/>
      </w:r>
    </w:p>
  </w:endnote>
  <w:endnote w:type="continuationSeparator" w:id="0">
    <w:p w14:paraId="74EE7880" w14:textId="77777777" w:rsidR="00C84C79" w:rsidRDefault="00C84C79" w:rsidP="00A43705">
      <w:r>
        <w:continuationSeparator/>
      </w:r>
    </w:p>
  </w:endnote>
  <w:endnote w:type="continuationNotice" w:id="1">
    <w:p w14:paraId="1E8446FA" w14:textId="77777777" w:rsidR="00C84C79" w:rsidRDefault="00C84C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NeueLT Std Lt C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89794"/>
      <w:docPartObj>
        <w:docPartGallery w:val="Page Numbers (Bottom of Page)"/>
        <w:docPartUnique/>
      </w:docPartObj>
    </w:sdtPr>
    <w:sdtEndPr>
      <w:rPr>
        <w:noProof/>
      </w:rPr>
    </w:sdtEndPr>
    <w:sdtContent>
      <w:p w14:paraId="02BCAA23" w14:textId="6988A1FD" w:rsidR="009E45AE" w:rsidRDefault="009E45A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A7089AD" w14:textId="77777777" w:rsidR="009E45AE" w:rsidRDefault="009E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17B9" w14:textId="77777777" w:rsidR="00C84C79" w:rsidRDefault="00C84C79" w:rsidP="00A43705">
      <w:r>
        <w:separator/>
      </w:r>
    </w:p>
  </w:footnote>
  <w:footnote w:type="continuationSeparator" w:id="0">
    <w:p w14:paraId="101D2253" w14:textId="77777777" w:rsidR="00C84C79" w:rsidRDefault="00C84C79" w:rsidP="00A43705">
      <w:r>
        <w:continuationSeparator/>
      </w:r>
    </w:p>
  </w:footnote>
  <w:footnote w:type="continuationNotice" w:id="1">
    <w:p w14:paraId="38E1F396" w14:textId="77777777" w:rsidR="00C84C79" w:rsidRDefault="00C84C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FA4D" w14:textId="1C58C11D" w:rsidR="009E45AE" w:rsidRDefault="009E45AE">
    <w:pPr>
      <w:pStyle w:val="Header"/>
    </w:pPr>
    <w:r>
      <w:rPr>
        <w:noProof/>
        <w:lang w:eastAsia="zh-CN"/>
      </w:rPr>
      <mc:AlternateContent>
        <mc:Choice Requires="wps">
          <w:drawing>
            <wp:anchor distT="0" distB="0" distL="114300" distR="114300" simplePos="0" relativeHeight="251658244"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JhAwIAAOkDAAAOAAAAZHJzL2Uyb0RvYy54bWysU8Fy0zAQvTPDP2h0J3YKDaknTie0lEuB&#10;zjRMzxtJjg2WV6yU2Pn7rhQ36cCNIQdNJK3evvf2eXE92FbsDfkGu1JOJ7kUplOom25byh/ru3dz&#10;KXyATkOLnSnlwXh5vXz7ZtG7wlxgja02JBik80XvSlmH4Ios86o2FvwEnen4skKyEHhL20wT9Ixu&#10;2+wiz2dZj6QdoTLe8+nt8VIuE35VGRW+V5U3QbSlZG4hrZTWTVyz5QKKLYGrGzXSgH9gYaHpuOkJ&#10;6hYCiB01f0HZRhF6rMJEoc2wqhplkgZWM83/UPNYgzNJC5vj3ckm//9g1bf9A4lGl/JSig4sj+iJ&#10;HV1RENPkTu98wUWPjsvC8AkHnnJS6t09ql9edHhTQ7c1KyLsawOa2U0ZazxOGtYHx8DpdG2G8Fk3&#10;PIhpND97hR+H5gsfO236r6j5CewCpm5DRVYQxmfzqzz+0jEbKJgRT/ZwmiY3EIoPP17l7+cfWJbi&#10;u2k+m82ToAyKCBaH5ciHLwatiH9KSZyWhAr7ex8iuXPJyDSSO9IMw2bgksh4g/rAnHtOUSn97x2Q&#10;Yf07e4McOhZdEdrR1Lh/6bwenoDc2Dsw64f2JUWJQIqTHocC+icD2ZbDuYdWXCYHjhTH4pHsETW+&#10;9W7F7t01ScmZ56iE85QEjtmPgX29T1XnL3T5DAAA//8DAFBLAwQUAAYACAAAACEAgo60W9sAAAAF&#10;AQAADwAAAGRycy9kb3ducmV2LnhtbEyPQW/CMAyF75P4D5En7QbpGGKoa4rQqh04AtPOoTFtt8Tp&#10;mpSW/fqZXdjFetaz3vucrUdnxRm70HhS8DhLQCCV3jRUKXg/vE1XIELUZLT1hAouGGCdT+4ynRo/&#10;0A7P+1gJDqGQagV1jG0qZShrdDrMfIvE3sl3Tkdeu0qaTg8c7qycJ8lSOt0QN9S6xdcay6997xSY&#10;n9OlfRqGw3a7K/pv2xQFfnwq9XA/bl5ARBzj7Riu+IwOOTMdfU8mCKuAH4l/8+rNF4tnEEdWyxXI&#10;PJP/6fNfAAAA//8DAFBLAQItABQABgAIAAAAIQC2gziS/gAAAOEBAAATAAAAAAAAAAAAAAAAAAAA&#10;AABbQ29udGVudF9UeXBlc10ueG1sUEsBAi0AFAAGAAgAAAAhADj9If/WAAAAlAEAAAsAAAAAAAAA&#10;AAAAAAAALwEAAF9yZWxzLy5yZWxzUEsBAi0AFAAGAAgAAAAhABAmcmEDAgAA6QMAAA4AAAAAAAAA&#10;AAAAAAAALgIAAGRycy9lMm9Eb2MueG1sUEsBAi0AFAAGAAgAAAAhAIKOtFvbAAAABQEAAA8AAAAA&#10;AAAAAAAAAAAAXQQAAGRycy9kb3ducmV2LnhtbFBLBQYAAAAABAAEAPMAAABlBQAAAAA=&#10;" o:allowincell="f" filled="f" stroked="f">
              <v:stroke joinstyle="round"/>
              <o:lock v:ext="edit" shapetype="t"/>
              <v:textbox style="mso-fit-shape-to-text:t">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2"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7BQIAAO8DAAAOAAAAZHJzL2Uyb0RvYy54bWysU8Fu2zAMvQ/YPwi6L3aKpO2MOEXWrrt0&#10;a4Fm6JmR5NibZWqUEjt/P0pxk2K7DfNBsCjq8b1HanEz2FbsDfkGu1JOJ7kUplOom25byu/r+w/X&#10;UvgAnYYWO1PKg/HyZvn+3aJ3hbnAGlttSDBI54velbIOwRVZ5lVtLPgJOtPxYYVkIfCWtpkm6Bnd&#10;ttlFnl9mPZJ2hMp4z9G746FcJvyqMio8VpU3QbSlZG4hrZTWTVyz5QKKLYGrGzXSgH9gYaHpuOgJ&#10;6g4CiB01f0HZRhF6rMJEoc2wqhplkgZWM83/UPNcgzNJC5vj3ckm//9g1bf9E4lGl3ImRQeWW/TC&#10;jq4oiMtoTu98wTnPjrPC8AkHbnIS6t0Dqp9edHhbQ7c1KyLsawOayU0ZagwnCeuDY9wUXZshfNYN&#10;92Ea4bM3+MdiPlba9F9R8xXYBUzVhoqsIIzXrj/m8Uth9k8wI27s4dRMLiAUB6/ms/lVPpdC8dk0&#10;v8xn81QRiggWe+XIhy8GrYg/pSQeloQK+wcfIrlzysg0kjvSDMNmSLYlGVHFBvWBqfc8S6X0v3ZA&#10;hm3Y2Vvk0WPtFaEdrY37VwLr4QXIjRQCk39qX2cp8UhDpcfWgP7BQLblEd1DK+bJiCPTMXnkfESN&#10;d71bsYn3TRJ05jkK4qlKOscXEMf27T5lnd/p8jcAAAD//wMAUEsDBBQABgAIAAAAIQD+7QHP2gAA&#10;AAUBAAAPAAAAZHJzL2Rvd25yZXYueG1sTI9BT8MwDIXvSPyHyEjcWDomjao0nRAVhx23Ic5e47Xd&#10;Eqc06drx68m4sIv1rGe99zlfTdaIM/W+daxgPktAEFdOt1wr+Nx9PKUgfEDWaByTggt5WBX3dzlm&#10;2o28ofM21CKGsM9QQRNCl0npq4Ys+pnriKN3cL3FENe+lrrHMYZbI5+TZCktthwbGuzovaHqtB2s&#10;Av1zuHSLcdyt15ty+DZtWdLXUanHh+ntFUSgKfwfwxU/okMRmfZuYO2FURAfCX/z6s3TdAFiH9Xy&#10;BWSRy1v64hcAAP//AwBQSwECLQAUAAYACAAAACEAtoM4kv4AAADhAQAAEwAAAAAAAAAAAAAAAAAA&#10;AAAAW0NvbnRlbnRfVHlwZXNdLnhtbFBLAQItABQABgAIAAAAIQA4/SH/1gAAAJQBAAALAAAAAAAA&#10;AAAAAAAAAC8BAABfcmVscy8ucmVsc1BLAQItABQABgAIAAAAIQAIcIj7BQIAAO8DAAAOAAAAAAAA&#10;AAAAAAAAAC4CAABkcnMvZTJvRG9jLnhtbFBLAQItABQABgAIAAAAIQD+7QHP2gAAAAUBAAAPAAAA&#10;AAAAAAAAAAAAAF8EAABkcnMvZG93bnJldi54bWxQSwUGAAAAAAQABADzAAAAZgUAAAAA&#10;" filled="f" stroked="f">
              <v:stroke joinstyle="round"/>
              <o:lock v:ext="edit" shapetype="t"/>
              <v:textbox style="mso-fit-shape-to-text:t">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0A4DA2">
      <w:rPr>
        <w:noProof/>
        <w:lang w:val="en-US"/>
      </w:rPr>
      <w:pict w14:anchorId="0F65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33.75pt;height:45.25pt;rotation:315;z-index:-25165824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175C" w14:textId="775BF67D" w:rsidR="009E45AE" w:rsidRDefault="009E45AE">
    <w:pPr>
      <w:pStyle w:val="Header"/>
    </w:pPr>
    <w:r>
      <w:rPr>
        <w:noProof/>
        <w:lang w:eastAsia="zh-CN"/>
      </w:rPr>
      <w:drawing>
        <wp:anchor distT="0" distB="0" distL="114300" distR="114300" simplePos="0" relativeHeight="251658247"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1D54" w14:textId="3382031B" w:rsidR="009E45AE" w:rsidRDefault="009E45AE">
    <w:pPr>
      <w:pStyle w:val="Header"/>
    </w:pPr>
    <w:r>
      <w:rPr>
        <w:noProof/>
        <w:lang w:eastAsia="zh-CN"/>
      </w:rPr>
      <w:drawing>
        <wp:anchor distT="0" distB="0" distL="114300" distR="114300" simplePos="0" relativeHeight="251658246" behindDoc="1" locked="1" layoutInCell="1" allowOverlap="1" wp14:anchorId="1DBE01D2" wp14:editId="556AA580">
          <wp:simplePos x="0" y="0"/>
          <wp:positionH relativeFrom="page">
            <wp:posOffset>8890</wp:posOffset>
          </wp:positionH>
          <wp:positionV relativeFrom="page">
            <wp:posOffset>10795</wp:posOffset>
          </wp:positionV>
          <wp:extent cx="7559675" cy="10691495"/>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5"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8" type="#_x0000_t202" style="position:absolute;margin-left:0;margin-top:0;width:622.35pt;height: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lACQIAAPADAAAOAAAAZHJzL2Uyb0RvYy54bWysU8Fy0zAQvTPDP2h0J7ZTWlJPnE5oKZcC&#10;nWmYnhVJjg2WVqyU2Pn7rmQndODG4IPGWq3evvd2tbwZTMcOGn0LtuLFLOdMWwmqtbuKf9/cv1tw&#10;5oOwSnRgdcWP2vOb1ds3y96Veg4NdEojIxDry95VvAnBlVnmZaON8DNw2tJhDWhEoC3uMoWiJ3TT&#10;ZfM8v8p6QOUQpPaeonfjIV8l/LrWMnyra68D6ypO3EJaMa3buGarpSh3KFzTyomG+AcWRrSWip6h&#10;7kQQbI/tX1CmlQge6jCTYDKo61bqpIHUFPkfap4a4XTSQuZ4d7bJ/z9Y+fXwiKxVFb/gzApDLXom&#10;R9cYWFFEd3rnS0p6cpQWho8wUJeTUu8eQP70zMJtI+xOrxGhb7RQxK4grCmcNGyOjoBTdKOH8Em1&#10;1IgEn73CH4v5WGnbfwFFV8Q+QKo21GgYQry2uM7jl8JkICNG1NnjuZtUgEkKfrjOLxbvLzmTdFbk&#10;V1eL1O5MlBEsNsuhD581GBZ/Ko40LQlVHB58IO2UekqhTWQayY00w7Adkm/zk0tbUEei3tMwVdz/&#10;2gvUZMPe3ALNHmmvEczkbdyfCGyGZ4FuohCI/GN3GqbEI02Vmnoj1A8CMh3N6EF07DIZMTKdkifO&#10;I2q8692aTLxvk6CoYeQ5CaKxSjqnJxDn9vU+Zf1+qKsXAAAA//8DAFBLAwQUAAYACAAAACEAgo60&#10;W9sAAAAFAQAADwAAAGRycy9kb3ducmV2LnhtbEyPQW/CMAyF75P4D5En7QbpGGKoa4rQqh04AtPO&#10;oTFtt8TpmpSW/fqZXdjFetaz3vucrUdnxRm70HhS8DhLQCCV3jRUKXg/vE1XIELUZLT1hAouGGCd&#10;T+4ynRo/0A7P+1gJDqGQagV1jG0qZShrdDrMfIvE3sl3Tkdeu0qaTg8c7qycJ8lSOt0QN9S6xdca&#10;y6997xSYn9OlfRqGw3a7K/pv2xQFfnwq9XA/bl5ARBzj7Riu+IwOOTMdfU8mCKuAH4l/8+rNF4tn&#10;EEdWyxXIPJP/6fNfAAAA//8DAFBLAQItABQABgAIAAAAIQC2gziS/gAAAOEBAAATAAAAAAAAAAAA&#10;AAAAAAAAAABbQ29udGVudF9UeXBlc10ueG1sUEsBAi0AFAAGAAgAAAAhADj9If/WAAAAlAEAAAsA&#10;AAAAAAAAAAAAAAAALwEAAF9yZWxzLy5yZWxzUEsBAi0AFAAGAAgAAAAhABrpaUAJAgAA8AMAAA4A&#10;AAAAAAAAAAAAAAAALgIAAGRycy9lMm9Eb2MueG1sUEsBAi0AFAAGAAgAAAAhAIKOtFvbAAAABQEA&#10;AA8AAAAAAAAAAAAAAAAAYwQAAGRycy9kb3ducmV2LnhtbFBLBQYAAAAABAAEAPMAAABrBQAAAAA=&#10;" o:allowincell="f" filled="f" stroked="f">
              <v:stroke joinstyle="round"/>
              <o:lock v:ext="edit" shapetype="t"/>
              <v:textbox style="mso-fit-shape-to-text:t">
                <w:txbxContent>
                  <w:p w14:paraId="7E1AE796"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3"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29" type="#_x0000_t202" style="position:absolute;margin-left:0;margin-top:0;width:594.1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qBBgIAAO8DAAAOAAAAZHJzL2Uyb0RvYy54bWysU8Fu2zAMvQ/YPwi6L3aypumMOEXWrrt0&#10;W4Fm6FmR5NibJWqUEjt/P0p20mK7FfVBsCjq8b1Hanndm5YdNPoGbMmnk5wzbSWoxu5K/nNz9+GK&#10;Mx+EVaIFq0t+1J5fr96/W3au0DOooVUaGYFYX3Su5HUIrsgyL2tthJ+A05YOK0AjAm1xlykUHaGb&#10;Npvl+WXWASqHILX3FL0dDvkq4VeVluFHVXkdWFty4hbSimndxjVbLUWxQ+HqRo40xCtYGNFYKnqG&#10;uhVBsD02/0GZRiJ4qMJEgsmgqhqpkwZSM83/UfNYC6eTFjLHu7NN/u1g5ffDA7JGlXzGmRWGWvRE&#10;jq4xsEU0p3O+oJxHR1mh/ww9NTkJ9e4e5G/PLNzUwu70GhG6WgtF5KYENYaThM3REW6KbnQfvqiG&#10;+jCN8NkL/KGYj5W23TdQdEXsA6RqfYWGIcRrV5/y+KUw+ceIETX2eG4mFWCSgov5xXyRzzmTdDbN&#10;L/OLeaooiggWe+XQh68aDIs/JUcaloQqDvc+RHLPKSPTSG6gGfptn2z7eHJpC+pI1DuapZL7P3uB&#10;mmzYmxug0SPtFYIZrY37E4FN/yTQjRQCkX9oT7OUeKShUmNrhPpFQKalET2Ils2TEQPTMXnkPKDG&#10;u96tycS7JgmKbg88R0E0VUnn+ALi2L7cp6znd7r6CwAA//8DAFBLAwQUAAYACAAAACEA/u0Bz9oA&#10;AAAFAQAADwAAAGRycy9kb3ducmV2LnhtbEyPQU/DMAyF70j8h8hI3Fg6Jo2qNJ0QFYcdtyHOXuO1&#10;3RKnNOna8evJuLCL9axnvfc5X03WiDP1vnWsYD5LQBBXTrdcK/jcfTylIHxA1mgck4ILeVgV93c5&#10;ZtqNvKHzNtQihrDPUEETQpdJ6auGLPqZ64ijd3C9xRDXvpa6xzGGWyOfk2QpLbYcGxrs6L2h6rQd&#10;rAL9c7h0i3Hcrdebcvg2bVnS11Gpx4fp7RVEoCn8H8MVP6JDEZn2bmDthVEQHwl/8+rN03QBYh/V&#10;8gVkkctb+uIXAAD//wMAUEsBAi0AFAAGAAgAAAAhALaDOJL+AAAA4QEAABMAAAAAAAAAAAAAAAAA&#10;AAAAAFtDb250ZW50X1R5cGVzXS54bWxQSwECLQAUAAYACAAAACEAOP0h/9YAAACUAQAACwAAAAAA&#10;AAAAAAAAAAAvAQAAX3JlbHMvLnJlbHNQSwECLQAUAAYACAAAACEASW96gQYCAADvAwAADgAAAAAA&#10;AAAAAAAAAAAuAgAAZHJzL2Uyb0RvYy54bWxQSwECLQAUAAYACAAAACEA/u0Bz9oAAAAFAQAADwAA&#10;AAAAAAAAAAAAAABgBAAAZHJzL2Rvd25yZXYueG1sUEsFBgAAAAAEAAQA8wAAAGcFAAAAAA==&#10;" filled="f" stroked="f">
              <v:stroke joinstyle="round"/>
              <o:lock v:ext="edit" shapetype="t"/>
              <v:textbox style="mso-fit-shape-to-text:t">
                <w:txbxContent>
                  <w:p w14:paraId="3673E90D"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0A4DA2">
      <w:rPr>
        <w:noProof/>
        <w:lang w:val="en-US"/>
      </w:rPr>
      <w:pict w14:anchorId="72A89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75pt;height:45.25pt;rotation:315;z-index:-251658239;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6"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B0A7D"/>
    <w:multiLevelType w:val="hybridMultilevel"/>
    <w:tmpl w:val="374E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15"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6" w15:restartNumberingAfterBreak="0">
    <w:nsid w:val="40A0066A"/>
    <w:multiLevelType w:val="hybridMultilevel"/>
    <w:tmpl w:val="6F20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20"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1"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2"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3"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14"/>
  </w:num>
  <w:num w:numId="5">
    <w:abstractNumId w:val="17"/>
  </w:num>
  <w:num w:numId="6">
    <w:abstractNumId w:val="25"/>
  </w:num>
  <w:num w:numId="7">
    <w:abstractNumId w:val="18"/>
  </w:num>
  <w:num w:numId="8">
    <w:abstractNumId w:val="23"/>
  </w:num>
  <w:num w:numId="9">
    <w:abstractNumId w:val="12"/>
  </w:num>
  <w:num w:numId="10">
    <w:abstractNumId w:val="11"/>
  </w:num>
  <w:num w:numId="11">
    <w:abstractNumId w:val="4"/>
  </w:num>
  <w:num w:numId="12">
    <w:abstractNumId w:val="27"/>
  </w:num>
  <w:num w:numId="13">
    <w:abstractNumId w:val="0"/>
  </w:num>
  <w:num w:numId="14">
    <w:abstractNumId w:val="1"/>
  </w:num>
  <w:num w:numId="15">
    <w:abstractNumId w:val="2"/>
  </w:num>
  <w:num w:numId="16">
    <w:abstractNumId w:val="8"/>
  </w:num>
  <w:num w:numId="17">
    <w:abstractNumId w:val="9"/>
  </w:num>
  <w:num w:numId="18">
    <w:abstractNumId w:val="20"/>
  </w:num>
  <w:num w:numId="19">
    <w:abstractNumId w:val="3"/>
  </w:num>
  <w:num w:numId="20">
    <w:abstractNumId w:val="15"/>
  </w:num>
  <w:num w:numId="21">
    <w:abstractNumId w:val="22"/>
  </w:num>
  <w:num w:numId="22">
    <w:abstractNumId w:val="24"/>
  </w:num>
  <w:num w:numId="23">
    <w:abstractNumId w:val="10"/>
  </w:num>
  <w:num w:numId="24">
    <w:abstractNumId w:val="16"/>
  </w:num>
  <w:num w:numId="25">
    <w:abstractNumId w:val="7"/>
  </w:num>
  <w:num w:numId="26">
    <w:abstractNumId w:val="6"/>
  </w:num>
  <w:num w:numId="27">
    <w:abstractNumId w:val="26"/>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55B7"/>
    <w:rsid w:val="000077E3"/>
    <w:rsid w:val="00014164"/>
    <w:rsid w:val="000145CF"/>
    <w:rsid w:val="0001628A"/>
    <w:rsid w:val="00017B4A"/>
    <w:rsid w:val="000200CA"/>
    <w:rsid w:val="00020634"/>
    <w:rsid w:val="00020D62"/>
    <w:rsid w:val="000224B0"/>
    <w:rsid w:val="00026DCA"/>
    <w:rsid w:val="00027F52"/>
    <w:rsid w:val="00032733"/>
    <w:rsid w:val="0003363B"/>
    <w:rsid w:val="00034A96"/>
    <w:rsid w:val="00035E9C"/>
    <w:rsid w:val="00036644"/>
    <w:rsid w:val="000404E4"/>
    <w:rsid w:val="0004133E"/>
    <w:rsid w:val="0004240E"/>
    <w:rsid w:val="00043508"/>
    <w:rsid w:val="00043D45"/>
    <w:rsid w:val="000459F8"/>
    <w:rsid w:val="000544A2"/>
    <w:rsid w:val="0005481A"/>
    <w:rsid w:val="00057E6B"/>
    <w:rsid w:val="000646BA"/>
    <w:rsid w:val="00065362"/>
    <w:rsid w:val="00065BBF"/>
    <w:rsid w:val="0007174A"/>
    <w:rsid w:val="0007242B"/>
    <w:rsid w:val="000727E9"/>
    <w:rsid w:val="00073304"/>
    <w:rsid w:val="00075546"/>
    <w:rsid w:val="00075A28"/>
    <w:rsid w:val="00077AEA"/>
    <w:rsid w:val="0008286D"/>
    <w:rsid w:val="000847CB"/>
    <w:rsid w:val="000854B6"/>
    <w:rsid w:val="00085FE5"/>
    <w:rsid w:val="00086DB5"/>
    <w:rsid w:val="000928C6"/>
    <w:rsid w:val="00092A27"/>
    <w:rsid w:val="00094715"/>
    <w:rsid w:val="00094B44"/>
    <w:rsid w:val="00097519"/>
    <w:rsid w:val="00097DEA"/>
    <w:rsid w:val="000A2C54"/>
    <w:rsid w:val="000A37FF"/>
    <w:rsid w:val="000A491E"/>
    <w:rsid w:val="000A4DA2"/>
    <w:rsid w:val="000A57FA"/>
    <w:rsid w:val="000B0346"/>
    <w:rsid w:val="000B3B35"/>
    <w:rsid w:val="000B60AC"/>
    <w:rsid w:val="000C1EEE"/>
    <w:rsid w:val="000D00A7"/>
    <w:rsid w:val="000D22F2"/>
    <w:rsid w:val="000D391E"/>
    <w:rsid w:val="000D4AB1"/>
    <w:rsid w:val="000E1EFD"/>
    <w:rsid w:val="000E214A"/>
    <w:rsid w:val="000E56DD"/>
    <w:rsid w:val="000E5F36"/>
    <w:rsid w:val="000F3924"/>
    <w:rsid w:val="000F55BD"/>
    <w:rsid w:val="000F616B"/>
    <w:rsid w:val="0010177B"/>
    <w:rsid w:val="00102803"/>
    <w:rsid w:val="00103964"/>
    <w:rsid w:val="001055D9"/>
    <w:rsid w:val="00106DA2"/>
    <w:rsid w:val="00107CC5"/>
    <w:rsid w:val="00111F4D"/>
    <w:rsid w:val="0011471D"/>
    <w:rsid w:val="00117A81"/>
    <w:rsid w:val="00121C15"/>
    <w:rsid w:val="00123921"/>
    <w:rsid w:val="00124CE5"/>
    <w:rsid w:val="001259A2"/>
    <w:rsid w:val="00125B9C"/>
    <w:rsid w:val="00126CDB"/>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91FDB"/>
    <w:rsid w:val="001922FA"/>
    <w:rsid w:val="00192AC2"/>
    <w:rsid w:val="0019396B"/>
    <w:rsid w:val="00193A92"/>
    <w:rsid w:val="00195E14"/>
    <w:rsid w:val="00196570"/>
    <w:rsid w:val="00197E3F"/>
    <w:rsid w:val="001A0526"/>
    <w:rsid w:val="001A0ADE"/>
    <w:rsid w:val="001A1634"/>
    <w:rsid w:val="001A2899"/>
    <w:rsid w:val="001A521E"/>
    <w:rsid w:val="001A6D17"/>
    <w:rsid w:val="001A6E8B"/>
    <w:rsid w:val="001A7510"/>
    <w:rsid w:val="001B02E5"/>
    <w:rsid w:val="001B0B31"/>
    <w:rsid w:val="001B112C"/>
    <w:rsid w:val="001B1409"/>
    <w:rsid w:val="001B1DD4"/>
    <w:rsid w:val="001B1F24"/>
    <w:rsid w:val="001B294A"/>
    <w:rsid w:val="001B496E"/>
    <w:rsid w:val="001B6685"/>
    <w:rsid w:val="001B6803"/>
    <w:rsid w:val="001C0C85"/>
    <w:rsid w:val="001C0CBA"/>
    <w:rsid w:val="001C11D7"/>
    <w:rsid w:val="001C213A"/>
    <w:rsid w:val="001D0878"/>
    <w:rsid w:val="001D2A36"/>
    <w:rsid w:val="001D316A"/>
    <w:rsid w:val="001D3547"/>
    <w:rsid w:val="001D5AB7"/>
    <w:rsid w:val="001D6CB2"/>
    <w:rsid w:val="001E0D82"/>
    <w:rsid w:val="001E1BE1"/>
    <w:rsid w:val="001F376F"/>
    <w:rsid w:val="001F4C8C"/>
    <w:rsid w:val="001F4D54"/>
    <w:rsid w:val="001F61C3"/>
    <w:rsid w:val="001F66E5"/>
    <w:rsid w:val="0020122F"/>
    <w:rsid w:val="00202E75"/>
    <w:rsid w:val="00205985"/>
    <w:rsid w:val="00207B3D"/>
    <w:rsid w:val="00211709"/>
    <w:rsid w:val="00211B85"/>
    <w:rsid w:val="0021458C"/>
    <w:rsid w:val="00214DB9"/>
    <w:rsid w:val="002152AC"/>
    <w:rsid w:val="00215D86"/>
    <w:rsid w:val="00215DDF"/>
    <w:rsid w:val="0021678E"/>
    <w:rsid w:val="00216BF7"/>
    <w:rsid w:val="00221FA5"/>
    <w:rsid w:val="00223AD6"/>
    <w:rsid w:val="00231C62"/>
    <w:rsid w:val="00233397"/>
    <w:rsid w:val="00235FEC"/>
    <w:rsid w:val="00237F32"/>
    <w:rsid w:val="00240052"/>
    <w:rsid w:val="00240408"/>
    <w:rsid w:val="0024195D"/>
    <w:rsid w:val="00242D33"/>
    <w:rsid w:val="0024470C"/>
    <w:rsid w:val="00244951"/>
    <w:rsid w:val="0024605E"/>
    <w:rsid w:val="00247CCC"/>
    <w:rsid w:val="00250753"/>
    <w:rsid w:val="0025348E"/>
    <w:rsid w:val="00254814"/>
    <w:rsid w:val="002600C2"/>
    <w:rsid w:val="00260448"/>
    <w:rsid w:val="0026054E"/>
    <w:rsid w:val="00263C6A"/>
    <w:rsid w:val="002651ED"/>
    <w:rsid w:val="00267206"/>
    <w:rsid w:val="002713FC"/>
    <w:rsid w:val="00274BCB"/>
    <w:rsid w:val="002834EB"/>
    <w:rsid w:val="002854D0"/>
    <w:rsid w:val="00285E59"/>
    <w:rsid w:val="00287767"/>
    <w:rsid w:val="0029024A"/>
    <w:rsid w:val="00290E3E"/>
    <w:rsid w:val="00292659"/>
    <w:rsid w:val="002A40BB"/>
    <w:rsid w:val="002A4C36"/>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74AC"/>
    <w:rsid w:val="002D75EE"/>
    <w:rsid w:val="002D7E91"/>
    <w:rsid w:val="002E1289"/>
    <w:rsid w:val="002E1B51"/>
    <w:rsid w:val="002E2FA3"/>
    <w:rsid w:val="002E2FEA"/>
    <w:rsid w:val="002E481C"/>
    <w:rsid w:val="002E5E3E"/>
    <w:rsid w:val="002E69BA"/>
    <w:rsid w:val="002E69C8"/>
    <w:rsid w:val="002E778C"/>
    <w:rsid w:val="002F1526"/>
    <w:rsid w:val="002F1B73"/>
    <w:rsid w:val="002F3DA9"/>
    <w:rsid w:val="002F4644"/>
    <w:rsid w:val="0030314C"/>
    <w:rsid w:val="003041F7"/>
    <w:rsid w:val="0030704E"/>
    <w:rsid w:val="00310194"/>
    <w:rsid w:val="003154B1"/>
    <w:rsid w:val="00316C88"/>
    <w:rsid w:val="0032031F"/>
    <w:rsid w:val="00322F45"/>
    <w:rsid w:val="0032404C"/>
    <w:rsid w:val="00325E86"/>
    <w:rsid w:val="003310AB"/>
    <w:rsid w:val="0033159B"/>
    <w:rsid w:val="00331D9C"/>
    <w:rsid w:val="00334488"/>
    <w:rsid w:val="00335A56"/>
    <w:rsid w:val="00337330"/>
    <w:rsid w:val="00341422"/>
    <w:rsid w:val="0034156E"/>
    <w:rsid w:val="00341844"/>
    <w:rsid w:val="00341877"/>
    <w:rsid w:val="00344A78"/>
    <w:rsid w:val="00347B3C"/>
    <w:rsid w:val="00352279"/>
    <w:rsid w:val="0035518C"/>
    <w:rsid w:val="003553EA"/>
    <w:rsid w:val="003648C8"/>
    <w:rsid w:val="00365488"/>
    <w:rsid w:val="00365B32"/>
    <w:rsid w:val="00365F48"/>
    <w:rsid w:val="003671D2"/>
    <w:rsid w:val="00367D39"/>
    <w:rsid w:val="00372029"/>
    <w:rsid w:val="00380A2B"/>
    <w:rsid w:val="00382085"/>
    <w:rsid w:val="00382AE9"/>
    <w:rsid w:val="003923B1"/>
    <w:rsid w:val="003925BD"/>
    <w:rsid w:val="00393BE1"/>
    <w:rsid w:val="0039437F"/>
    <w:rsid w:val="00395FD3"/>
    <w:rsid w:val="00396151"/>
    <w:rsid w:val="00396890"/>
    <w:rsid w:val="003A2CE9"/>
    <w:rsid w:val="003A3B6B"/>
    <w:rsid w:val="003A54B8"/>
    <w:rsid w:val="003A5954"/>
    <w:rsid w:val="003A64B3"/>
    <w:rsid w:val="003A798A"/>
    <w:rsid w:val="003B09CE"/>
    <w:rsid w:val="003B0AE6"/>
    <w:rsid w:val="003B0C35"/>
    <w:rsid w:val="003B2854"/>
    <w:rsid w:val="003B55BB"/>
    <w:rsid w:val="003B59DC"/>
    <w:rsid w:val="003C0482"/>
    <w:rsid w:val="003C500D"/>
    <w:rsid w:val="003C7686"/>
    <w:rsid w:val="003D0F68"/>
    <w:rsid w:val="003D11C2"/>
    <w:rsid w:val="003D1C54"/>
    <w:rsid w:val="003D3050"/>
    <w:rsid w:val="003D3AF2"/>
    <w:rsid w:val="003D5F44"/>
    <w:rsid w:val="003E62C0"/>
    <w:rsid w:val="003E7A03"/>
    <w:rsid w:val="003F04A4"/>
    <w:rsid w:val="003F3AA6"/>
    <w:rsid w:val="003F3B69"/>
    <w:rsid w:val="003F3BC4"/>
    <w:rsid w:val="003F4843"/>
    <w:rsid w:val="00400E2A"/>
    <w:rsid w:val="00401494"/>
    <w:rsid w:val="00402508"/>
    <w:rsid w:val="00402A53"/>
    <w:rsid w:val="00407115"/>
    <w:rsid w:val="00407330"/>
    <w:rsid w:val="00407FC5"/>
    <w:rsid w:val="00412602"/>
    <w:rsid w:val="00414C25"/>
    <w:rsid w:val="00415B6B"/>
    <w:rsid w:val="00420028"/>
    <w:rsid w:val="004261EA"/>
    <w:rsid w:val="00431DA8"/>
    <w:rsid w:val="00442EA4"/>
    <w:rsid w:val="004439B1"/>
    <w:rsid w:val="00444179"/>
    <w:rsid w:val="00444F09"/>
    <w:rsid w:val="00445131"/>
    <w:rsid w:val="004454DA"/>
    <w:rsid w:val="00446928"/>
    <w:rsid w:val="00446952"/>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5795A"/>
    <w:rsid w:val="00463DBF"/>
    <w:rsid w:val="00464D6A"/>
    <w:rsid w:val="00467542"/>
    <w:rsid w:val="00473ACB"/>
    <w:rsid w:val="00474C9E"/>
    <w:rsid w:val="00476B0C"/>
    <w:rsid w:val="00481815"/>
    <w:rsid w:val="00485F7B"/>
    <w:rsid w:val="0049045F"/>
    <w:rsid w:val="00492141"/>
    <w:rsid w:val="00492213"/>
    <w:rsid w:val="00494249"/>
    <w:rsid w:val="004A2C12"/>
    <w:rsid w:val="004A3659"/>
    <w:rsid w:val="004A4E77"/>
    <w:rsid w:val="004A6413"/>
    <w:rsid w:val="004B1E53"/>
    <w:rsid w:val="004B2584"/>
    <w:rsid w:val="004B29D2"/>
    <w:rsid w:val="004B2D1E"/>
    <w:rsid w:val="004B6020"/>
    <w:rsid w:val="004B6BEB"/>
    <w:rsid w:val="004B6EDE"/>
    <w:rsid w:val="004B7623"/>
    <w:rsid w:val="004C0BB4"/>
    <w:rsid w:val="004C47B8"/>
    <w:rsid w:val="004C5AC2"/>
    <w:rsid w:val="004C5BA1"/>
    <w:rsid w:val="004D11A0"/>
    <w:rsid w:val="004D2D28"/>
    <w:rsid w:val="004D4BC1"/>
    <w:rsid w:val="004E340D"/>
    <w:rsid w:val="004E54DB"/>
    <w:rsid w:val="004E596E"/>
    <w:rsid w:val="004F003D"/>
    <w:rsid w:val="004F1F94"/>
    <w:rsid w:val="004F45AB"/>
    <w:rsid w:val="004F6657"/>
    <w:rsid w:val="004F6BDA"/>
    <w:rsid w:val="00501FDB"/>
    <w:rsid w:val="00503A1F"/>
    <w:rsid w:val="00503E3D"/>
    <w:rsid w:val="0050606E"/>
    <w:rsid w:val="00507717"/>
    <w:rsid w:val="005116EE"/>
    <w:rsid w:val="005142C7"/>
    <w:rsid w:val="00515825"/>
    <w:rsid w:val="0051594B"/>
    <w:rsid w:val="0051790A"/>
    <w:rsid w:val="00520BD6"/>
    <w:rsid w:val="0052374A"/>
    <w:rsid w:val="0052404D"/>
    <w:rsid w:val="00530EC8"/>
    <w:rsid w:val="0053242C"/>
    <w:rsid w:val="00533C85"/>
    <w:rsid w:val="0053430B"/>
    <w:rsid w:val="005366F5"/>
    <w:rsid w:val="00537828"/>
    <w:rsid w:val="00543CFE"/>
    <w:rsid w:val="00543E74"/>
    <w:rsid w:val="0054641A"/>
    <w:rsid w:val="00550250"/>
    <w:rsid w:val="0055165C"/>
    <w:rsid w:val="00551C0B"/>
    <w:rsid w:val="00553F1E"/>
    <w:rsid w:val="005544CB"/>
    <w:rsid w:val="0055697A"/>
    <w:rsid w:val="00556CDC"/>
    <w:rsid w:val="00557C92"/>
    <w:rsid w:val="00560A21"/>
    <w:rsid w:val="0056534D"/>
    <w:rsid w:val="005657B2"/>
    <w:rsid w:val="00566C14"/>
    <w:rsid w:val="0057270F"/>
    <w:rsid w:val="00573374"/>
    <w:rsid w:val="00573EE8"/>
    <w:rsid w:val="00575718"/>
    <w:rsid w:val="005763AA"/>
    <w:rsid w:val="0058121E"/>
    <w:rsid w:val="00582383"/>
    <w:rsid w:val="005827DE"/>
    <w:rsid w:val="00584F24"/>
    <w:rsid w:val="0058726A"/>
    <w:rsid w:val="00587832"/>
    <w:rsid w:val="00587BDD"/>
    <w:rsid w:val="005910A9"/>
    <w:rsid w:val="005910C0"/>
    <w:rsid w:val="00592554"/>
    <w:rsid w:val="00592BC0"/>
    <w:rsid w:val="005959EA"/>
    <w:rsid w:val="00596228"/>
    <w:rsid w:val="005A1A9E"/>
    <w:rsid w:val="005A30FB"/>
    <w:rsid w:val="005B3C85"/>
    <w:rsid w:val="005B44F3"/>
    <w:rsid w:val="005B5B68"/>
    <w:rsid w:val="005B780D"/>
    <w:rsid w:val="005C188E"/>
    <w:rsid w:val="005C2309"/>
    <w:rsid w:val="005C2CA1"/>
    <w:rsid w:val="005C2FC7"/>
    <w:rsid w:val="005C33CF"/>
    <w:rsid w:val="005C5734"/>
    <w:rsid w:val="005D1949"/>
    <w:rsid w:val="005D1F73"/>
    <w:rsid w:val="005D40B5"/>
    <w:rsid w:val="005D4845"/>
    <w:rsid w:val="005D5287"/>
    <w:rsid w:val="005E13F5"/>
    <w:rsid w:val="005E2A7C"/>
    <w:rsid w:val="005E3FDA"/>
    <w:rsid w:val="005F0E43"/>
    <w:rsid w:val="005F5022"/>
    <w:rsid w:val="005F511D"/>
    <w:rsid w:val="005F72CD"/>
    <w:rsid w:val="00600F81"/>
    <w:rsid w:val="0060208A"/>
    <w:rsid w:val="00604819"/>
    <w:rsid w:val="00606E53"/>
    <w:rsid w:val="006100BF"/>
    <w:rsid w:val="00610B76"/>
    <w:rsid w:val="0061267B"/>
    <w:rsid w:val="00612DA9"/>
    <w:rsid w:val="00612FAE"/>
    <w:rsid w:val="0061352B"/>
    <w:rsid w:val="00622872"/>
    <w:rsid w:val="006261BE"/>
    <w:rsid w:val="00626C9E"/>
    <w:rsid w:val="00631197"/>
    <w:rsid w:val="00633E9A"/>
    <w:rsid w:val="00634752"/>
    <w:rsid w:val="006404DE"/>
    <w:rsid w:val="0064538E"/>
    <w:rsid w:val="00645437"/>
    <w:rsid w:val="00646EE6"/>
    <w:rsid w:val="00646F35"/>
    <w:rsid w:val="00651A24"/>
    <w:rsid w:val="00653CFE"/>
    <w:rsid w:val="00656628"/>
    <w:rsid w:val="00656F4D"/>
    <w:rsid w:val="00657A0C"/>
    <w:rsid w:val="0066084C"/>
    <w:rsid w:val="00664AF8"/>
    <w:rsid w:val="00664FE0"/>
    <w:rsid w:val="0067294F"/>
    <w:rsid w:val="0067537F"/>
    <w:rsid w:val="006816F8"/>
    <w:rsid w:val="0068242E"/>
    <w:rsid w:val="006824FE"/>
    <w:rsid w:val="006827A2"/>
    <w:rsid w:val="00684D4B"/>
    <w:rsid w:val="00687A37"/>
    <w:rsid w:val="00690FCF"/>
    <w:rsid w:val="00692CC3"/>
    <w:rsid w:val="00693230"/>
    <w:rsid w:val="00695CA9"/>
    <w:rsid w:val="00697177"/>
    <w:rsid w:val="00697226"/>
    <w:rsid w:val="00697FA5"/>
    <w:rsid w:val="006A4357"/>
    <w:rsid w:val="006A75BE"/>
    <w:rsid w:val="006B00BB"/>
    <w:rsid w:val="006B321D"/>
    <w:rsid w:val="006B3C54"/>
    <w:rsid w:val="006B59D6"/>
    <w:rsid w:val="006C13D4"/>
    <w:rsid w:val="006C40FD"/>
    <w:rsid w:val="006C492E"/>
    <w:rsid w:val="006C4B9C"/>
    <w:rsid w:val="006C57BF"/>
    <w:rsid w:val="006C6978"/>
    <w:rsid w:val="006D02C3"/>
    <w:rsid w:val="006D05E3"/>
    <w:rsid w:val="006D0738"/>
    <w:rsid w:val="006D0D66"/>
    <w:rsid w:val="006D1433"/>
    <w:rsid w:val="006D2BA1"/>
    <w:rsid w:val="006D40E5"/>
    <w:rsid w:val="006E1150"/>
    <w:rsid w:val="006E3132"/>
    <w:rsid w:val="006E545A"/>
    <w:rsid w:val="006E78FF"/>
    <w:rsid w:val="006F3079"/>
    <w:rsid w:val="006F45B9"/>
    <w:rsid w:val="006F49AB"/>
    <w:rsid w:val="006F4DD1"/>
    <w:rsid w:val="00702603"/>
    <w:rsid w:val="00702A66"/>
    <w:rsid w:val="00702C2A"/>
    <w:rsid w:val="00705B36"/>
    <w:rsid w:val="007070E6"/>
    <w:rsid w:val="0071019D"/>
    <w:rsid w:val="00712D67"/>
    <w:rsid w:val="00713F9F"/>
    <w:rsid w:val="0071711C"/>
    <w:rsid w:val="00724477"/>
    <w:rsid w:val="00730F13"/>
    <w:rsid w:val="007318F5"/>
    <w:rsid w:val="007326F9"/>
    <w:rsid w:val="00732A36"/>
    <w:rsid w:val="00733608"/>
    <w:rsid w:val="00736E37"/>
    <w:rsid w:val="00737FED"/>
    <w:rsid w:val="00740084"/>
    <w:rsid w:val="007414E7"/>
    <w:rsid w:val="00742531"/>
    <w:rsid w:val="00743DC5"/>
    <w:rsid w:val="00745126"/>
    <w:rsid w:val="007464AB"/>
    <w:rsid w:val="00746E78"/>
    <w:rsid w:val="007476CC"/>
    <w:rsid w:val="00751124"/>
    <w:rsid w:val="0075323E"/>
    <w:rsid w:val="00755DCE"/>
    <w:rsid w:val="00762DE9"/>
    <w:rsid w:val="0076521A"/>
    <w:rsid w:val="00771F4C"/>
    <w:rsid w:val="0077471E"/>
    <w:rsid w:val="00780A7A"/>
    <w:rsid w:val="00782C31"/>
    <w:rsid w:val="00784158"/>
    <w:rsid w:val="00785A63"/>
    <w:rsid w:val="0079534C"/>
    <w:rsid w:val="00797E80"/>
    <w:rsid w:val="007A2E85"/>
    <w:rsid w:val="007A55D2"/>
    <w:rsid w:val="007A5876"/>
    <w:rsid w:val="007A674D"/>
    <w:rsid w:val="007A6A9F"/>
    <w:rsid w:val="007B12AE"/>
    <w:rsid w:val="007B2E95"/>
    <w:rsid w:val="007B5028"/>
    <w:rsid w:val="007B6301"/>
    <w:rsid w:val="007C5A9F"/>
    <w:rsid w:val="007C756B"/>
    <w:rsid w:val="007D1448"/>
    <w:rsid w:val="007D1892"/>
    <w:rsid w:val="007D3A4F"/>
    <w:rsid w:val="007D4095"/>
    <w:rsid w:val="007D4E52"/>
    <w:rsid w:val="007D50DF"/>
    <w:rsid w:val="007D79EF"/>
    <w:rsid w:val="007E2B5A"/>
    <w:rsid w:val="007E3F1B"/>
    <w:rsid w:val="007E7727"/>
    <w:rsid w:val="007E7A2C"/>
    <w:rsid w:val="007F19DE"/>
    <w:rsid w:val="007F222D"/>
    <w:rsid w:val="007F28F9"/>
    <w:rsid w:val="007F6692"/>
    <w:rsid w:val="007F6850"/>
    <w:rsid w:val="007F799F"/>
    <w:rsid w:val="008048B4"/>
    <w:rsid w:val="00812C2D"/>
    <w:rsid w:val="00812FF7"/>
    <w:rsid w:val="00813DB8"/>
    <w:rsid w:val="00813E90"/>
    <w:rsid w:val="0081459A"/>
    <w:rsid w:val="00814780"/>
    <w:rsid w:val="008152FA"/>
    <w:rsid w:val="00816350"/>
    <w:rsid w:val="008202F6"/>
    <w:rsid w:val="008228CE"/>
    <w:rsid w:val="00822C7D"/>
    <w:rsid w:val="00825758"/>
    <w:rsid w:val="00826835"/>
    <w:rsid w:val="00826ADB"/>
    <w:rsid w:val="008320F6"/>
    <w:rsid w:val="00832735"/>
    <w:rsid w:val="0083316E"/>
    <w:rsid w:val="00834154"/>
    <w:rsid w:val="008367F9"/>
    <w:rsid w:val="008407D8"/>
    <w:rsid w:val="00840E06"/>
    <w:rsid w:val="008445F9"/>
    <w:rsid w:val="008459F8"/>
    <w:rsid w:val="00845C32"/>
    <w:rsid w:val="0085261B"/>
    <w:rsid w:val="00852F4D"/>
    <w:rsid w:val="00853BE2"/>
    <w:rsid w:val="008549F3"/>
    <w:rsid w:val="0086235C"/>
    <w:rsid w:val="00863C0A"/>
    <w:rsid w:val="00866A61"/>
    <w:rsid w:val="0087014C"/>
    <w:rsid w:val="00871645"/>
    <w:rsid w:val="00871F6D"/>
    <w:rsid w:val="00874B08"/>
    <w:rsid w:val="008759DB"/>
    <w:rsid w:val="00875CF3"/>
    <w:rsid w:val="0087720C"/>
    <w:rsid w:val="008843FD"/>
    <w:rsid w:val="0088539F"/>
    <w:rsid w:val="0088607C"/>
    <w:rsid w:val="0088758B"/>
    <w:rsid w:val="00894437"/>
    <w:rsid w:val="00895A60"/>
    <w:rsid w:val="008961FC"/>
    <w:rsid w:val="00896700"/>
    <w:rsid w:val="008967C8"/>
    <w:rsid w:val="00896DA9"/>
    <w:rsid w:val="008A323F"/>
    <w:rsid w:val="008A650A"/>
    <w:rsid w:val="008A7329"/>
    <w:rsid w:val="008B010D"/>
    <w:rsid w:val="008B18D6"/>
    <w:rsid w:val="008B43C8"/>
    <w:rsid w:val="008B73CF"/>
    <w:rsid w:val="008C0236"/>
    <w:rsid w:val="008C369A"/>
    <w:rsid w:val="008C51EC"/>
    <w:rsid w:val="008C6FF7"/>
    <w:rsid w:val="008D49BE"/>
    <w:rsid w:val="008E440B"/>
    <w:rsid w:val="008E60AD"/>
    <w:rsid w:val="008F0C5B"/>
    <w:rsid w:val="008F34D0"/>
    <w:rsid w:val="008F3F82"/>
    <w:rsid w:val="008F4D3B"/>
    <w:rsid w:val="008F585C"/>
    <w:rsid w:val="00901FA4"/>
    <w:rsid w:val="00902454"/>
    <w:rsid w:val="00903E32"/>
    <w:rsid w:val="009065BF"/>
    <w:rsid w:val="00912995"/>
    <w:rsid w:val="00914283"/>
    <w:rsid w:val="00914621"/>
    <w:rsid w:val="00914A85"/>
    <w:rsid w:val="00917BA2"/>
    <w:rsid w:val="00920157"/>
    <w:rsid w:val="00921A66"/>
    <w:rsid w:val="00924FC6"/>
    <w:rsid w:val="00930448"/>
    <w:rsid w:val="00930D8C"/>
    <w:rsid w:val="00931021"/>
    <w:rsid w:val="0093366C"/>
    <w:rsid w:val="00933724"/>
    <w:rsid w:val="0094022F"/>
    <w:rsid w:val="00941176"/>
    <w:rsid w:val="00941542"/>
    <w:rsid w:val="009415FF"/>
    <w:rsid w:val="0094225B"/>
    <w:rsid w:val="00947ECB"/>
    <w:rsid w:val="0095105C"/>
    <w:rsid w:val="00951749"/>
    <w:rsid w:val="0095296C"/>
    <w:rsid w:val="00954A69"/>
    <w:rsid w:val="00960202"/>
    <w:rsid w:val="009615C9"/>
    <w:rsid w:val="00961817"/>
    <w:rsid w:val="00961B6D"/>
    <w:rsid w:val="00964F00"/>
    <w:rsid w:val="009655D9"/>
    <w:rsid w:val="00965A88"/>
    <w:rsid w:val="00967234"/>
    <w:rsid w:val="00967880"/>
    <w:rsid w:val="00971CBB"/>
    <w:rsid w:val="00971F08"/>
    <w:rsid w:val="00971FA4"/>
    <w:rsid w:val="009755B4"/>
    <w:rsid w:val="00975ED0"/>
    <w:rsid w:val="009832B3"/>
    <w:rsid w:val="0098580D"/>
    <w:rsid w:val="0099207F"/>
    <w:rsid w:val="0099603E"/>
    <w:rsid w:val="009963F3"/>
    <w:rsid w:val="00997998"/>
    <w:rsid w:val="009A09C7"/>
    <w:rsid w:val="009A2EF7"/>
    <w:rsid w:val="009A5D2E"/>
    <w:rsid w:val="009A5ED8"/>
    <w:rsid w:val="009A6F1C"/>
    <w:rsid w:val="009B22A7"/>
    <w:rsid w:val="009B2D5B"/>
    <w:rsid w:val="009B3668"/>
    <w:rsid w:val="009B47CC"/>
    <w:rsid w:val="009B6B2D"/>
    <w:rsid w:val="009C01F1"/>
    <w:rsid w:val="009C056D"/>
    <w:rsid w:val="009C29B2"/>
    <w:rsid w:val="009C3CD4"/>
    <w:rsid w:val="009C5F01"/>
    <w:rsid w:val="009C771C"/>
    <w:rsid w:val="009D0E0A"/>
    <w:rsid w:val="009D1CD4"/>
    <w:rsid w:val="009E165E"/>
    <w:rsid w:val="009E3544"/>
    <w:rsid w:val="009E45AE"/>
    <w:rsid w:val="009F0D12"/>
    <w:rsid w:val="009F1903"/>
    <w:rsid w:val="009F6ADF"/>
    <w:rsid w:val="009F73EE"/>
    <w:rsid w:val="00A0088B"/>
    <w:rsid w:val="00A0183F"/>
    <w:rsid w:val="00A03A1E"/>
    <w:rsid w:val="00A1514D"/>
    <w:rsid w:val="00A15435"/>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5E7E"/>
    <w:rsid w:val="00A47110"/>
    <w:rsid w:val="00A478E0"/>
    <w:rsid w:val="00A52D29"/>
    <w:rsid w:val="00A53E0A"/>
    <w:rsid w:val="00A55ED3"/>
    <w:rsid w:val="00A56AB3"/>
    <w:rsid w:val="00A60595"/>
    <w:rsid w:val="00A6075C"/>
    <w:rsid w:val="00A61176"/>
    <w:rsid w:val="00A63924"/>
    <w:rsid w:val="00A6472F"/>
    <w:rsid w:val="00A64910"/>
    <w:rsid w:val="00A747E6"/>
    <w:rsid w:val="00A74D1B"/>
    <w:rsid w:val="00A77F2B"/>
    <w:rsid w:val="00A8300C"/>
    <w:rsid w:val="00A8430F"/>
    <w:rsid w:val="00A84CA1"/>
    <w:rsid w:val="00A857DB"/>
    <w:rsid w:val="00A85895"/>
    <w:rsid w:val="00A92956"/>
    <w:rsid w:val="00A93025"/>
    <w:rsid w:val="00A95D8F"/>
    <w:rsid w:val="00A960B3"/>
    <w:rsid w:val="00AA183E"/>
    <w:rsid w:val="00AA1B99"/>
    <w:rsid w:val="00AA23C8"/>
    <w:rsid w:val="00AA5297"/>
    <w:rsid w:val="00AA7CE7"/>
    <w:rsid w:val="00AA7E2C"/>
    <w:rsid w:val="00AB0D53"/>
    <w:rsid w:val="00AB0FCE"/>
    <w:rsid w:val="00AB1D31"/>
    <w:rsid w:val="00AB604A"/>
    <w:rsid w:val="00AB6FC8"/>
    <w:rsid w:val="00AB77B8"/>
    <w:rsid w:val="00AC00A2"/>
    <w:rsid w:val="00AC18BD"/>
    <w:rsid w:val="00AC2A9A"/>
    <w:rsid w:val="00AC30E1"/>
    <w:rsid w:val="00AC4842"/>
    <w:rsid w:val="00AC717A"/>
    <w:rsid w:val="00AD70D5"/>
    <w:rsid w:val="00AE26F4"/>
    <w:rsid w:val="00AE273C"/>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6DE4"/>
    <w:rsid w:val="00B17A53"/>
    <w:rsid w:val="00B17E2E"/>
    <w:rsid w:val="00B2223E"/>
    <w:rsid w:val="00B26565"/>
    <w:rsid w:val="00B26DBB"/>
    <w:rsid w:val="00B3078D"/>
    <w:rsid w:val="00B31CEF"/>
    <w:rsid w:val="00B32065"/>
    <w:rsid w:val="00B36144"/>
    <w:rsid w:val="00B37B33"/>
    <w:rsid w:val="00B44A86"/>
    <w:rsid w:val="00B44B1B"/>
    <w:rsid w:val="00B46FEF"/>
    <w:rsid w:val="00B500E1"/>
    <w:rsid w:val="00B50ACE"/>
    <w:rsid w:val="00B50D25"/>
    <w:rsid w:val="00B539E8"/>
    <w:rsid w:val="00B545E3"/>
    <w:rsid w:val="00B55099"/>
    <w:rsid w:val="00B66570"/>
    <w:rsid w:val="00B67121"/>
    <w:rsid w:val="00B72404"/>
    <w:rsid w:val="00B73548"/>
    <w:rsid w:val="00B7410E"/>
    <w:rsid w:val="00B76ACE"/>
    <w:rsid w:val="00B83B49"/>
    <w:rsid w:val="00B84C73"/>
    <w:rsid w:val="00B94B60"/>
    <w:rsid w:val="00B9589E"/>
    <w:rsid w:val="00B9731E"/>
    <w:rsid w:val="00BA1510"/>
    <w:rsid w:val="00BA1D8A"/>
    <w:rsid w:val="00BA5CE5"/>
    <w:rsid w:val="00BA6478"/>
    <w:rsid w:val="00BA6E2B"/>
    <w:rsid w:val="00BB0A35"/>
    <w:rsid w:val="00BB0D4F"/>
    <w:rsid w:val="00BB11FE"/>
    <w:rsid w:val="00BB27F5"/>
    <w:rsid w:val="00BB3347"/>
    <w:rsid w:val="00BB79FD"/>
    <w:rsid w:val="00BC12B6"/>
    <w:rsid w:val="00BC400A"/>
    <w:rsid w:val="00BC43B0"/>
    <w:rsid w:val="00BC4FDC"/>
    <w:rsid w:val="00BD2D31"/>
    <w:rsid w:val="00BD5D57"/>
    <w:rsid w:val="00BD7089"/>
    <w:rsid w:val="00BE014F"/>
    <w:rsid w:val="00BE43B8"/>
    <w:rsid w:val="00BE44FE"/>
    <w:rsid w:val="00BE60EB"/>
    <w:rsid w:val="00BE64D2"/>
    <w:rsid w:val="00BE699D"/>
    <w:rsid w:val="00BF1A1D"/>
    <w:rsid w:val="00BF2BA0"/>
    <w:rsid w:val="00BF3661"/>
    <w:rsid w:val="00BF647C"/>
    <w:rsid w:val="00C01F1F"/>
    <w:rsid w:val="00C021C1"/>
    <w:rsid w:val="00C06BD7"/>
    <w:rsid w:val="00C0787B"/>
    <w:rsid w:val="00C113A4"/>
    <w:rsid w:val="00C11FD9"/>
    <w:rsid w:val="00C22A49"/>
    <w:rsid w:val="00C25A45"/>
    <w:rsid w:val="00C27B63"/>
    <w:rsid w:val="00C32BA8"/>
    <w:rsid w:val="00C345A3"/>
    <w:rsid w:val="00C36F4D"/>
    <w:rsid w:val="00C42E79"/>
    <w:rsid w:val="00C43354"/>
    <w:rsid w:val="00C4554C"/>
    <w:rsid w:val="00C506B5"/>
    <w:rsid w:val="00C54447"/>
    <w:rsid w:val="00C55BD4"/>
    <w:rsid w:val="00C6119C"/>
    <w:rsid w:val="00C635F9"/>
    <w:rsid w:val="00C66BE0"/>
    <w:rsid w:val="00C676C6"/>
    <w:rsid w:val="00C72179"/>
    <w:rsid w:val="00C776BE"/>
    <w:rsid w:val="00C80131"/>
    <w:rsid w:val="00C81DF1"/>
    <w:rsid w:val="00C83E3B"/>
    <w:rsid w:val="00C83FE2"/>
    <w:rsid w:val="00C84C79"/>
    <w:rsid w:val="00C9006E"/>
    <w:rsid w:val="00C91A01"/>
    <w:rsid w:val="00C91B08"/>
    <w:rsid w:val="00C9416A"/>
    <w:rsid w:val="00C942B7"/>
    <w:rsid w:val="00C96E63"/>
    <w:rsid w:val="00C97F89"/>
    <w:rsid w:val="00CA0879"/>
    <w:rsid w:val="00CA3131"/>
    <w:rsid w:val="00CA37D2"/>
    <w:rsid w:val="00CA5372"/>
    <w:rsid w:val="00CA5BCB"/>
    <w:rsid w:val="00CA5FA8"/>
    <w:rsid w:val="00CB1E95"/>
    <w:rsid w:val="00CB4200"/>
    <w:rsid w:val="00CB4661"/>
    <w:rsid w:val="00CB762F"/>
    <w:rsid w:val="00CB7A64"/>
    <w:rsid w:val="00CC4276"/>
    <w:rsid w:val="00CC4438"/>
    <w:rsid w:val="00CC5D7F"/>
    <w:rsid w:val="00CC634E"/>
    <w:rsid w:val="00CC6429"/>
    <w:rsid w:val="00CC721F"/>
    <w:rsid w:val="00CD01F5"/>
    <w:rsid w:val="00CD0CDD"/>
    <w:rsid w:val="00CD379B"/>
    <w:rsid w:val="00CE0185"/>
    <w:rsid w:val="00CF01D4"/>
    <w:rsid w:val="00CF4067"/>
    <w:rsid w:val="00CF4B09"/>
    <w:rsid w:val="00CF7702"/>
    <w:rsid w:val="00D03726"/>
    <w:rsid w:val="00D03F17"/>
    <w:rsid w:val="00D06027"/>
    <w:rsid w:val="00D11473"/>
    <w:rsid w:val="00D1299D"/>
    <w:rsid w:val="00D13A92"/>
    <w:rsid w:val="00D16054"/>
    <w:rsid w:val="00D17F1E"/>
    <w:rsid w:val="00D21164"/>
    <w:rsid w:val="00D21466"/>
    <w:rsid w:val="00D22002"/>
    <w:rsid w:val="00D23B69"/>
    <w:rsid w:val="00D24BDD"/>
    <w:rsid w:val="00D310DC"/>
    <w:rsid w:val="00D314FC"/>
    <w:rsid w:val="00D31DFE"/>
    <w:rsid w:val="00D32826"/>
    <w:rsid w:val="00D33CAA"/>
    <w:rsid w:val="00D357AA"/>
    <w:rsid w:val="00D36044"/>
    <w:rsid w:val="00D368BD"/>
    <w:rsid w:val="00D407AF"/>
    <w:rsid w:val="00D40F1B"/>
    <w:rsid w:val="00D41595"/>
    <w:rsid w:val="00D429DF"/>
    <w:rsid w:val="00D43681"/>
    <w:rsid w:val="00D43F1E"/>
    <w:rsid w:val="00D455D0"/>
    <w:rsid w:val="00D517BD"/>
    <w:rsid w:val="00D53E4C"/>
    <w:rsid w:val="00D54298"/>
    <w:rsid w:val="00D54843"/>
    <w:rsid w:val="00D56D3B"/>
    <w:rsid w:val="00D62A76"/>
    <w:rsid w:val="00D64A25"/>
    <w:rsid w:val="00D72687"/>
    <w:rsid w:val="00D72A26"/>
    <w:rsid w:val="00D72DB7"/>
    <w:rsid w:val="00D749CF"/>
    <w:rsid w:val="00D74D8B"/>
    <w:rsid w:val="00D767E4"/>
    <w:rsid w:val="00D76F8A"/>
    <w:rsid w:val="00D830A2"/>
    <w:rsid w:val="00D8462C"/>
    <w:rsid w:val="00D84DD3"/>
    <w:rsid w:val="00D91ABD"/>
    <w:rsid w:val="00D9241D"/>
    <w:rsid w:val="00D93AC3"/>
    <w:rsid w:val="00DA3376"/>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4912"/>
    <w:rsid w:val="00DD4A93"/>
    <w:rsid w:val="00DD7606"/>
    <w:rsid w:val="00DE09CD"/>
    <w:rsid w:val="00DE23D7"/>
    <w:rsid w:val="00DE511D"/>
    <w:rsid w:val="00DE5CFA"/>
    <w:rsid w:val="00DE64E9"/>
    <w:rsid w:val="00DE6EC3"/>
    <w:rsid w:val="00DF0359"/>
    <w:rsid w:val="00DF29A3"/>
    <w:rsid w:val="00DF304C"/>
    <w:rsid w:val="00DF5624"/>
    <w:rsid w:val="00DF5B35"/>
    <w:rsid w:val="00DF6092"/>
    <w:rsid w:val="00DF6D89"/>
    <w:rsid w:val="00E0448C"/>
    <w:rsid w:val="00E05E73"/>
    <w:rsid w:val="00E1322E"/>
    <w:rsid w:val="00E150C2"/>
    <w:rsid w:val="00E15923"/>
    <w:rsid w:val="00E2061C"/>
    <w:rsid w:val="00E2117C"/>
    <w:rsid w:val="00E2479F"/>
    <w:rsid w:val="00E24EB5"/>
    <w:rsid w:val="00E252AD"/>
    <w:rsid w:val="00E30821"/>
    <w:rsid w:val="00E31D26"/>
    <w:rsid w:val="00E31EA6"/>
    <w:rsid w:val="00E4017C"/>
    <w:rsid w:val="00E40B63"/>
    <w:rsid w:val="00E4281F"/>
    <w:rsid w:val="00E42A59"/>
    <w:rsid w:val="00E43558"/>
    <w:rsid w:val="00E45228"/>
    <w:rsid w:val="00E51AC1"/>
    <w:rsid w:val="00E534AA"/>
    <w:rsid w:val="00E5478C"/>
    <w:rsid w:val="00E54AB2"/>
    <w:rsid w:val="00E60448"/>
    <w:rsid w:val="00E629C1"/>
    <w:rsid w:val="00E65FF1"/>
    <w:rsid w:val="00E669BF"/>
    <w:rsid w:val="00E70470"/>
    <w:rsid w:val="00E70712"/>
    <w:rsid w:val="00E739A8"/>
    <w:rsid w:val="00E7448D"/>
    <w:rsid w:val="00E7717B"/>
    <w:rsid w:val="00E77606"/>
    <w:rsid w:val="00E848A3"/>
    <w:rsid w:val="00E906E3"/>
    <w:rsid w:val="00E92456"/>
    <w:rsid w:val="00E94141"/>
    <w:rsid w:val="00E95701"/>
    <w:rsid w:val="00EA0202"/>
    <w:rsid w:val="00EA1351"/>
    <w:rsid w:val="00EA61A0"/>
    <w:rsid w:val="00EA6B00"/>
    <w:rsid w:val="00EB29EA"/>
    <w:rsid w:val="00EB353E"/>
    <w:rsid w:val="00EB433B"/>
    <w:rsid w:val="00EB4CB7"/>
    <w:rsid w:val="00EB4D17"/>
    <w:rsid w:val="00EB6702"/>
    <w:rsid w:val="00EC1341"/>
    <w:rsid w:val="00EC1599"/>
    <w:rsid w:val="00EC5B4F"/>
    <w:rsid w:val="00EC64A3"/>
    <w:rsid w:val="00ED0AF7"/>
    <w:rsid w:val="00ED3859"/>
    <w:rsid w:val="00ED5441"/>
    <w:rsid w:val="00ED5BA8"/>
    <w:rsid w:val="00ED785C"/>
    <w:rsid w:val="00ED7C44"/>
    <w:rsid w:val="00EE01B2"/>
    <w:rsid w:val="00EE05DE"/>
    <w:rsid w:val="00EE4629"/>
    <w:rsid w:val="00EE4D7B"/>
    <w:rsid w:val="00EE6476"/>
    <w:rsid w:val="00EE6A07"/>
    <w:rsid w:val="00EE6E21"/>
    <w:rsid w:val="00EE7318"/>
    <w:rsid w:val="00EE7490"/>
    <w:rsid w:val="00EF470C"/>
    <w:rsid w:val="00EF50BC"/>
    <w:rsid w:val="00EF6F12"/>
    <w:rsid w:val="00F02848"/>
    <w:rsid w:val="00F0332B"/>
    <w:rsid w:val="00F0388A"/>
    <w:rsid w:val="00F05C03"/>
    <w:rsid w:val="00F05CF6"/>
    <w:rsid w:val="00F05D16"/>
    <w:rsid w:val="00F0601E"/>
    <w:rsid w:val="00F0611D"/>
    <w:rsid w:val="00F0665A"/>
    <w:rsid w:val="00F10ACC"/>
    <w:rsid w:val="00F11D48"/>
    <w:rsid w:val="00F127E0"/>
    <w:rsid w:val="00F12CE9"/>
    <w:rsid w:val="00F14639"/>
    <w:rsid w:val="00F200DC"/>
    <w:rsid w:val="00F20388"/>
    <w:rsid w:val="00F207AA"/>
    <w:rsid w:val="00F35379"/>
    <w:rsid w:val="00F35588"/>
    <w:rsid w:val="00F37A5D"/>
    <w:rsid w:val="00F427D2"/>
    <w:rsid w:val="00F46E0D"/>
    <w:rsid w:val="00F4739C"/>
    <w:rsid w:val="00F515B7"/>
    <w:rsid w:val="00F518D6"/>
    <w:rsid w:val="00F520BB"/>
    <w:rsid w:val="00F5607E"/>
    <w:rsid w:val="00F56E7B"/>
    <w:rsid w:val="00F609A8"/>
    <w:rsid w:val="00F63309"/>
    <w:rsid w:val="00F65857"/>
    <w:rsid w:val="00F70ABA"/>
    <w:rsid w:val="00F70D4E"/>
    <w:rsid w:val="00F736EB"/>
    <w:rsid w:val="00F75279"/>
    <w:rsid w:val="00F77052"/>
    <w:rsid w:val="00F8037B"/>
    <w:rsid w:val="00F8328F"/>
    <w:rsid w:val="00F83D09"/>
    <w:rsid w:val="00F84789"/>
    <w:rsid w:val="00F84A3D"/>
    <w:rsid w:val="00F874DA"/>
    <w:rsid w:val="00F914DC"/>
    <w:rsid w:val="00F97FDB"/>
    <w:rsid w:val="00FA2129"/>
    <w:rsid w:val="00FA3DE1"/>
    <w:rsid w:val="00FA490B"/>
    <w:rsid w:val="00FA4B8A"/>
    <w:rsid w:val="00FA7759"/>
    <w:rsid w:val="00FB2063"/>
    <w:rsid w:val="00FB3886"/>
    <w:rsid w:val="00FB5CDC"/>
    <w:rsid w:val="00FB6770"/>
    <w:rsid w:val="00FC0106"/>
    <w:rsid w:val="00FC0475"/>
    <w:rsid w:val="00FC110D"/>
    <w:rsid w:val="00FC16C3"/>
    <w:rsid w:val="00FC47E8"/>
    <w:rsid w:val="00FC67C1"/>
    <w:rsid w:val="00FC750E"/>
    <w:rsid w:val="00FD0B37"/>
    <w:rsid w:val="00FD1AB3"/>
    <w:rsid w:val="00FD21D5"/>
    <w:rsid w:val="00FD5648"/>
    <w:rsid w:val="00FD6402"/>
    <w:rsid w:val="00FD6EEC"/>
    <w:rsid w:val="00FD7396"/>
    <w:rsid w:val="00FD77A1"/>
    <w:rsid w:val="00FE0A24"/>
    <w:rsid w:val="00FE1416"/>
    <w:rsid w:val="00FE3FDD"/>
    <w:rsid w:val="00FE4213"/>
    <w:rsid w:val="00FE5C16"/>
    <w:rsid w:val="00FE7434"/>
    <w:rsid w:val="00FF01F1"/>
    <w:rsid w:val="00FF2FAD"/>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D230BC"/>
  <w15:docId w15:val="{35507817-448C-A848-8A17-7CBC64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5"/>
      </w:numPr>
      <w:spacing w:after="60"/>
      <w:ind w:left="357" w:hanging="357"/>
    </w:pPr>
  </w:style>
  <w:style w:type="paragraph" w:customStyle="1" w:styleId="LetterList">
    <w:name w:val="LetterList"/>
    <w:basedOn w:val="Normal"/>
    <w:qFormat/>
    <w:rsid w:val="003E7A03"/>
    <w:pPr>
      <w:numPr>
        <w:numId w:val="6"/>
      </w:numPr>
    </w:pPr>
  </w:style>
  <w:style w:type="paragraph" w:customStyle="1" w:styleId="NumberList">
    <w:name w:val="NumberList"/>
    <w:basedOn w:val="Normal"/>
    <w:qFormat/>
    <w:rsid w:val="003E7A03"/>
    <w:pPr>
      <w:numPr>
        <w:numId w:val="7"/>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8"/>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9"/>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qFormat/>
    <w:rsid w:val="00C345A3"/>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C345A3"/>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7B50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B50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63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ndt@ccia.org.au" TargetMode="External"/><Relationship Id="rId18" Type="http://schemas.openxmlformats.org/officeDocument/2006/relationships/hyperlink" Target="https://www.flinders.edu.au/research/facilities/cell-screen-sa-facility" TargetMode="External"/><Relationship Id="rId26" Type="http://schemas.openxmlformats.org/officeDocument/2006/relationships/hyperlink" Target="mailto:a.christian@uq.edu.au" TargetMode="External"/><Relationship Id="rId39" Type="http://schemas.openxmlformats.org/officeDocument/2006/relationships/hyperlink" Target="https://www.monash.edu/atmcf" TargetMode="External"/><Relationship Id="rId21" Type="http://schemas.openxmlformats.org/officeDocument/2006/relationships/hyperlink" Target="mailto:j.zuegg@imb.uq.edu.au" TargetMode="External"/><Relationship Id="rId34" Type="http://schemas.openxmlformats.org/officeDocument/2006/relationships/hyperlink" Target="mailto:kaylene.simpson@petermac.org" TargetMode="External"/><Relationship Id="rId42" Type="http://schemas.openxmlformats.org/officeDocument/2006/relationships/hyperlink" Target="https://www.therapeuticinovation.com.au/accelerator"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csmr.anu.edu.au/services/high-throughput-screening" TargetMode="External"/><Relationship Id="rId29" Type="http://schemas.openxmlformats.org/officeDocument/2006/relationships/hyperlink" Target="mailto:bradley.doak@monash.edu" TargetMode="External"/><Relationship Id="rId11" Type="http://schemas.openxmlformats.org/officeDocument/2006/relationships/hyperlink" Target="https://www.business.gov.au/assistance/research-and-development-tax-incentive" TargetMode="External"/><Relationship Id="rId24" Type="http://schemas.openxmlformats.org/officeDocument/2006/relationships/hyperlink" Target="mailto:v.avery@griffith.edu.au" TargetMode="External"/><Relationship Id="rId32" Type="http://schemas.openxmlformats.org/officeDocument/2006/relationships/hyperlink" Target="mailto:lowes@wehi.edu.au" TargetMode="External"/><Relationship Id="rId37" Type="http://schemas.openxmlformats.org/officeDocument/2006/relationships/hyperlink" Target="mailto:j.barclay@victorchang.edu.au" TargetMode="External"/><Relationship Id="rId40" Type="http://schemas.openxmlformats.org/officeDocument/2006/relationships/hyperlink" Target="https://www.therapeuticinnovation.com.au/aphid" TargetMode="External"/><Relationship Id="rId45" Type="http://schemas.openxmlformats.org/officeDocument/2006/relationships/hyperlink" Target="http://www.therapeuticinnovation.com.au/acknowledging-tia" TargetMode="External"/><Relationship Id="rId5" Type="http://schemas.openxmlformats.org/officeDocument/2006/relationships/numbering" Target="numbering.xml"/><Relationship Id="rId15" Type="http://schemas.openxmlformats.org/officeDocument/2006/relationships/hyperlink" Target="mailto:tfailes@ccia.org.au" TargetMode="External"/><Relationship Id="rId23" Type="http://schemas.openxmlformats.org/officeDocument/2006/relationships/hyperlink" Target="http://www.discoverybiology.org/" TargetMode="External"/><Relationship Id="rId28" Type="http://schemas.openxmlformats.org/officeDocument/2006/relationships/hyperlink" Target="mailto:martin.scanlon@monash.edu" TargetMode="External"/><Relationship Id="rId36" Type="http://schemas.openxmlformats.org/officeDocument/2006/relationships/hyperlink" Target="mailto:j.mcarthur@victorchang.edu.a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manda.aloia@flinders.edu.au" TargetMode="External"/><Relationship Id="rId31" Type="http://schemas.openxmlformats.org/officeDocument/2006/relationships/hyperlink" Target="mailto:mitchell.j@wehi.edu.au" TargetMode="External"/><Relationship Id="rId44" Type="http://schemas.openxmlformats.org/officeDocument/2006/relationships/hyperlink" Target="http://bit.ly/ATRAX-DO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tone@ccia.org.au" TargetMode="External"/><Relationship Id="rId22" Type="http://schemas.openxmlformats.org/officeDocument/2006/relationships/hyperlink" Target="mailto:m.blaskovich@imb.uq.edu.au" TargetMode="External"/><Relationship Id="rId27" Type="http://schemas.openxmlformats.org/officeDocument/2006/relationships/hyperlink" Target="https://www.monash.edu/researchinfrastructure/mfp" TargetMode="External"/><Relationship Id="rId30" Type="http://schemas.openxmlformats.org/officeDocument/2006/relationships/hyperlink" Target="https://www.wehi.edu.au/about-business-development/partnering-opportunities/opportunities-platform-technologies" TargetMode="External"/><Relationship Id="rId35" Type="http://schemas.openxmlformats.org/officeDocument/2006/relationships/hyperlink" Target="https://www.victorchang.edu.au/innovation-centre" TargetMode="External"/><Relationship Id="rId43" Type="http://schemas.openxmlformats.org/officeDocument/2006/relationships/hyperlink" Target="https://www.therapeuticinovation.com.au/accelerator"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cia.org.au/our-services/drug-discovery-centre/" TargetMode="External"/><Relationship Id="rId17" Type="http://schemas.openxmlformats.org/officeDocument/2006/relationships/hyperlink" Target="mailto:amee.george@anu.edu.au" TargetMode="External"/><Relationship Id="rId25" Type="http://schemas.openxmlformats.org/officeDocument/2006/relationships/hyperlink" Target="https://www.griffith.edu.au/institute-drug-discovery/unique-resources/mass-spectrometry-screening" TargetMode="External"/><Relationship Id="rId33" Type="http://schemas.openxmlformats.org/officeDocument/2006/relationships/hyperlink" Target="https://www.petermac.org/research/core-facilities/victorian-centre-functional-genomics" TargetMode="External"/><Relationship Id="rId38" Type="http://schemas.openxmlformats.org/officeDocument/2006/relationships/hyperlink" Target="https://www.wehi.edu.au/research/research-technologies/drug-discovery/apply" TargetMode="External"/><Relationship Id="rId46" Type="http://schemas.openxmlformats.org/officeDocument/2006/relationships/header" Target="header1.xml"/><Relationship Id="rId20" Type="http://schemas.openxmlformats.org/officeDocument/2006/relationships/hyperlink" Target="http://www.co-add.org/" TargetMode="External"/><Relationship Id="rId41" Type="http://schemas.openxmlformats.org/officeDocument/2006/relationships/hyperlink" Target="http://www.therapeuticinnovation.com.au/accelerator"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A47EE-CE8C-4D47-9EFE-DF7A7538A5B8}">
  <ds:schemaRefs>
    <ds:schemaRef ds:uri="http://schemas.openxmlformats.org/officeDocument/2006/bibliography"/>
  </ds:schemaRefs>
</ds:datastoreItem>
</file>

<file path=customXml/itemProps3.xml><?xml version="1.0" encoding="utf-8"?>
<ds:datastoreItem xmlns:ds="http://schemas.openxmlformats.org/officeDocument/2006/customXml" ds:itemID="{90B6F363-52F6-4672-A4BD-ED0DA70E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22322-9F84-4CBB-90A0-D2C4EB39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TIATEMP-01(20Feb14)</Template>
  <TotalTime>44</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Newman</dc:creator>
  <cp:lastModifiedBy>Mj Chua</cp:lastModifiedBy>
  <cp:revision>61</cp:revision>
  <cp:lastPrinted>2014-12-19T05:24:00Z</cp:lastPrinted>
  <dcterms:created xsi:type="dcterms:W3CDTF">2021-02-15T05:22:00Z</dcterms:created>
  <dcterms:modified xsi:type="dcterms:W3CDTF">2021-03-16T00:23:00Z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